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41" w:rightFromText="141" w:bottomFromText="160" w:vertAnchor="text" w:horzAnchor="margin" w:tblpXSpec="center" w:tblpY="-300"/>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1567"/>
        <w:gridCol w:w="3998"/>
      </w:tblGrid>
      <w:tr w:rsidR="003613CF" w:rsidRPr="005C163C" w14:paraId="1925E4C5" w14:textId="77777777" w:rsidTr="00316C31">
        <w:trPr>
          <w:trHeight w:val="217"/>
        </w:trPr>
        <w:tc>
          <w:tcPr>
            <w:tcW w:w="4678" w:type="dxa"/>
            <w:hideMark/>
          </w:tcPr>
          <w:p w14:paraId="5D094213" w14:textId="77777777" w:rsidR="003613CF" w:rsidRPr="00524A36" w:rsidRDefault="003613CF" w:rsidP="00CC4C44">
            <w:pPr>
              <w:jc w:val="center"/>
              <w:rPr>
                <w:rFonts w:ascii="Times New Roman" w:hAnsi="Times New Roman" w:cs="Times New Roman"/>
                <w:b/>
              </w:rPr>
            </w:pPr>
            <w:bookmarkStart w:id="0" w:name="_Hlk195607452"/>
            <w:bookmarkEnd w:id="0"/>
            <w:r w:rsidRPr="00524A36">
              <w:rPr>
                <w:rFonts w:ascii="Times New Roman" w:hAnsi="Times New Roman" w:cs="Times New Roman"/>
                <w:b/>
              </w:rPr>
              <w:t>MINISTRY OF TRANSPORT</w:t>
            </w:r>
          </w:p>
          <w:p w14:paraId="4738BB47" w14:textId="77777777" w:rsidR="003613CF" w:rsidRPr="00524A36" w:rsidRDefault="003613CF" w:rsidP="00CC4C44">
            <w:pPr>
              <w:jc w:val="center"/>
              <w:rPr>
                <w:rFonts w:ascii="Times New Roman" w:hAnsi="Times New Roman" w:cs="Times New Roman"/>
                <w:b/>
              </w:rPr>
            </w:pPr>
            <w:r w:rsidRPr="00524A36">
              <w:rPr>
                <w:rFonts w:ascii="Times New Roman" w:hAnsi="Times New Roman" w:cs="Times New Roman"/>
                <w:b/>
              </w:rPr>
              <w:t>AND INFRASTRUCTURE</w:t>
            </w:r>
          </w:p>
          <w:p w14:paraId="66756D9B" w14:textId="77777777" w:rsidR="003613CF" w:rsidRPr="00524A36" w:rsidRDefault="003613CF" w:rsidP="00CC4C44">
            <w:pPr>
              <w:jc w:val="center"/>
              <w:rPr>
                <w:rFonts w:ascii="Times New Roman" w:hAnsi="Times New Roman" w:cs="Times New Roman"/>
                <w:b/>
              </w:rPr>
            </w:pPr>
            <w:r w:rsidRPr="00524A36">
              <w:rPr>
                <w:rFonts w:ascii="Times New Roman" w:hAnsi="Times New Roman" w:cs="Times New Roman"/>
                <w:b/>
              </w:rPr>
              <w:t>----------**----------</w:t>
            </w:r>
          </w:p>
        </w:tc>
        <w:tc>
          <w:tcPr>
            <w:tcW w:w="1567" w:type="dxa"/>
          </w:tcPr>
          <w:p w14:paraId="41FAB2D8" w14:textId="77777777" w:rsidR="003613CF" w:rsidRPr="00524A36" w:rsidRDefault="003613CF" w:rsidP="002124A7">
            <w:pPr>
              <w:jc w:val="center"/>
              <w:rPr>
                <w:rFonts w:ascii="Times New Roman" w:hAnsi="Times New Roman" w:cs="Times New Roman"/>
                <w:b/>
              </w:rPr>
            </w:pPr>
          </w:p>
        </w:tc>
        <w:tc>
          <w:tcPr>
            <w:tcW w:w="3998" w:type="dxa"/>
            <w:hideMark/>
          </w:tcPr>
          <w:p w14:paraId="49ABD2A6" w14:textId="77777777" w:rsidR="003613CF" w:rsidRPr="00524A36" w:rsidRDefault="003613CF" w:rsidP="002124A7">
            <w:pPr>
              <w:jc w:val="center"/>
              <w:rPr>
                <w:rFonts w:ascii="Times New Roman" w:hAnsi="Times New Roman" w:cs="Times New Roman"/>
                <w:b/>
              </w:rPr>
            </w:pPr>
            <w:r w:rsidRPr="00524A36">
              <w:rPr>
                <w:rFonts w:ascii="Times New Roman" w:hAnsi="Times New Roman" w:cs="Times New Roman"/>
                <w:b/>
              </w:rPr>
              <w:t>REPUBLIC OF MALI</w:t>
            </w:r>
          </w:p>
          <w:p w14:paraId="5FBCFD66" w14:textId="77777777" w:rsidR="003613CF" w:rsidRPr="00524A36" w:rsidRDefault="003613CF" w:rsidP="002124A7">
            <w:pPr>
              <w:jc w:val="center"/>
              <w:rPr>
                <w:rFonts w:ascii="Times New Roman" w:hAnsi="Times New Roman" w:cs="Times New Roman"/>
                <w:b/>
              </w:rPr>
            </w:pPr>
            <w:r w:rsidRPr="00524A36">
              <w:rPr>
                <w:rFonts w:ascii="Times New Roman" w:hAnsi="Times New Roman" w:cs="Times New Roman"/>
                <w:b/>
              </w:rPr>
              <w:t>One People – One Goal – One Faith</w:t>
            </w:r>
          </w:p>
          <w:p w14:paraId="70521CC0" w14:textId="77777777" w:rsidR="003613CF" w:rsidRPr="00524A36" w:rsidRDefault="003613CF" w:rsidP="002124A7">
            <w:pPr>
              <w:jc w:val="center"/>
              <w:rPr>
                <w:rFonts w:ascii="Times New Roman" w:hAnsi="Times New Roman" w:cs="Times New Roman"/>
                <w:b/>
              </w:rPr>
            </w:pPr>
            <w:r w:rsidRPr="00524A36">
              <w:rPr>
                <w:rFonts w:ascii="Times New Roman" w:hAnsi="Times New Roman" w:cs="Times New Roman"/>
                <w:b/>
              </w:rPr>
              <w:t>----------**----------</w:t>
            </w:r>
          </w:p>
        </w:tc>
      </w:tr>
      <w:tr w:rsidR="003613CF" w:rsidRPr="005C163C" w14:paraId="430410DF" w14:textId="77777777" w:rsidTr="00316C31">
        <w:trPr>
          <w:trHeight w:val="487"/>
        </w:trPr>
        <w:tc>
          <w:tcPr>
            <w:tcW w:w="4678" w:type="dxa"/>
            <w:hideMark/>
          </w:tcPr>
          <w:p w14:paraId="5DC60626" w14:textId="77777777" w:rsidR="003613CF" w:rsidRPr="00524A36" w:rsidRDefault="003613CF" w:rsidP="00CC4C44">
            <w:pPr>
              <w:jc w:val="center"/>
              <w:rPr>
                <w:rFonts w:ascii="Times New Roman" w:hAnsi="Times New Roman" w:cs="Times New Roman"/>
                <w:b/>
                <w:bCs/>
              </w:rPr>
            </w:pPr>
            <w:r w:rsidRPr="00524A36">
              <w:rPr>
                <w:rFonts w:ascii="Times New Roman" w:hAnsi="Times New Roman" w:cs="Times New Roman"/>
                <w:b/>
                <w:bCs/>
              </w:rPr>
              <w:t>GENERAL SECRETARIAT</w:t>
            </w:r>
          </w:p>
          <w:p w14:paraId="10E6BC92" w14:textId="77777777" w:rsidR="003613CF" w:rsidRPr="00524A36" w:rsidRDefault="003613CF" w:rsidP="00CC4C44">
            <w:pPr>
              <w:jc w:val="center"/>
              <w:rPr>
                <w:rFonts w:ascii="Times New Roman" w:hAnsi="Times New Roman" w:cs="Times New Roman"/>
                <w:b/>
              </w:rPr>
            </w:pPr>
            <w:r w:rsidRPr="00524A36">
              <w:rPr>
                <w:rFonts w:ascii="Times New Roman" w:hAnsi="Times New Roman" w:cs="Times New Roman"/>
                <w:b/>
                <w:bCs/>
              </w:rPr>
              <w:t>----------**----------</w:t>
            </w:r>
          </w:p>
        </w:tc>
        <w:tc>
          <w:tcPr>
            <w:tcW w:w="1567" w:type="dxa"/>
          </w:tcPr>
          <w:p w14:paraId="7EDCDB91" w14:textId="77777777" w:rsidR="003613CF" w:rsidRPr="00524A36" w:rsidRDefault="003613CF" w:rsidP="002124A7">
            <w:pPr>
              <w:jc w:val="center"/>
              <w:rPr>
                <w:rFonts w:ascii="Times New Roman" w:hAnsi="Times New Roman" w:cs="Times New Roman"/>
                <w:b/>
              </w:rPr>
            </w:pPr>
          </w:p>
        </w:tc>
        <w:tc>
          <w:tcPr>
            <w:tcW w:w="3998" w:type="dxa"/>
          </w:tcPr>
          <w:p w14:paraId="79E04228" w14:textId="77777777" w:rsidR="003613CF" w:rsidRPr="00524A36" w:rsidRDefault="003613CF" w:rsidP="002124A7">
            <w:pPr>
              <w:jc w:val="center"/>
              <w:rPr>
                <w:rFonts w:ascii="Times New Roman" w:hAnsi="Times New Roman" w:cs="Times New Roman"/>
                <w:b/>
                <w:bCs/>
              </w:rPr>
            </w:pPr>
          </w:p>
          <w:p w14:paraId="2B56FBBB" w14:textId="77777777" w:rsidR="003613CF" w:rsidRPr="00524A36" w:rsidRDefault="003613CF" w:rsidP="002124A7">
            <w:pPr>
              <w:rPr>
                <w:rFonts w:ascii="Times New Roman" w:hAnsi="Times New Roman" w:cs="Times New Roman"/>
                <w:b/>
                <w:bCs/>
              </w:rPr>
            </w:pPr>
          </w:p>
        </w:tc>
      </w:tr>
      <w:tr w:rsidR="003613CF" w:rsidRPr="005C163C" w14:paraId="6E5C5E0E" w14:textId="77777777" w:rsidTr="00316C31">
        <w:trPr>
          <w:trHeight w:val="487"/>
        </w:trPr>
        <w:tc>
          <w:tcPr>
            <w:tcW w:w="4678" w:type="dxa"/>
          </w:tcPr>
          <w:p w14:paraId="10548646" w14:textId="77777777" w:rsidR="00316C31" w:rsidRDefault="00CC4C44" w:rsidP="00CC4C44">
            <w:pPr>
              <w:jc w:val="center"/>
              <w:rPr>
                <w:rFonts w:ascii="Times New Roman" w:hAnsi="Times New Roman" w:cs="Times New Roman"/>
                <w:b/>
                <w:bCs/>
              </w:rPr>
            </w:pPr>
            <w:r w:rsidRPr="00CC4C44">
              <w:rPr>
                <w:rFonts w:ascii="Times New Roman" w:hAnsi="Times New Roman" w:cs="Times New Roman"/>
                <w:b/>
                <w:bCs/>
              </w:rPr>
              <w:t xml:space="preserve">GENERAL DIRECTORATE </w:t>
            </w:r>
          </w:p>
          <w:p w14:paraId="6504BFB7" w14:textId="78487F9C" w:rsidR="00CC4C44" w:rsidRDefault="00CC4C44" w:rsidP="00CC4C44">
            <w:pPr>
              <w:jc w:val="center"/>
              <w:rPr>
                <w:rFonts w:ascii="Times New Roman" w:hAnsi="Times New Roman" w:cs="Times New Roman"/>
                <w:b/>
                <w:bCs/>
              </w:rPr>
            </w:pPr>
            <w:r w:rsidRPr="00CC4C44">
              <w:rPr>
                <w:rFonts w:ascii="Times New Roman" w:hAnsi="Times New Roman" w:cs="Times New Roman"/>
                <w:b/>
                <w:bCs/>
              </w:rPr>
              <w:t>OF ROADS</w:t>
            </w:r>
          </w:p>
          <w:p w14:paraId="2256FB26" w14:textId="2D9C6CC0" w:rsidR="003613CF" w:rsidRPr="00524A36" w:rsidRDefault="003613CF" w:rsidP="00CC4C44">
            <w:pPr>
              <w:jc w:val="center"/>
              <w:rPr>
                <w:rFonts w:ascii="Times New Roman" w:hAnsi="Times New Roman" w:cs="Times New Roman"/>
                <w:b/>
              </w:rPr>
            </w:pPr>
            <w:r w:rsidRPr="00524A36">
              <w:rPr>
                <w:rFonts w:ascii="Times New Roman" w:hAnsi="Times New Roman" w:cs="Times New Roman"/>
                <w:b/>
                <w:bCs/>
              </w:rPr>
              <w:t>---------**----------</w:t>
            </w:r>
          </w:p>
        </w:tc>
        <w:tc>
          <w:tcPr>
            <w:tcW w:w="1567" w:type="dxa"/>
          </w:tcPr>
          <w:p w14:paraId="7DED96AD" w14:textId="77777777" w:rsidR="003613CF" w:rsidRPr="00524A36" w:rsidRDefault="003613CF" w:rsidP="002124A7">
            <w:pPr>
              <w:jc w:val="center"/>
              <w:rPr>
                <w:rFonts w:ascii="Times New Roman" w:hAnsi="Times New Roman" w:cs="Times New Roman"/>
                <w:b/>
              </w:rPr>
            </w:pPr>
          </w:p>
        </w:tc>
        <w:tc>
          <w:tcPr>
            <w:tcW w:w="3998" w:type="dxa"/>
          </w:tcPr>
          <w:p w14:paraId="1EBA5BB1" w14:textId="77777777" w:rsidR="003613CF" w:rsidRPr="00524A36" w:rsidRDefault="003613CF" w:rsidP="002124A7">
            <w:pPr>
              <w:jc w:val="center"/>
              <w:rPr>
                <w:rFonts w:ascii="Times New Roman" w:hAnsi="Times New Roman" w:cs="Times New Roman"/>
                <w:b/>
                <w:bCs/>
              </w:rPr>
            </w:pPr>
          </w:p>
        </w:tc>
      </w:tr>
    </w:tbl>
    <w:p w14:paraId="364F8ABD" w14:textId="543AFB52" w:rsidR="003613CF" w:rsidRPr="00524A36" w:rsidRDefault="003613CF" w:rsidP="003613CF">
      <w:pPr>
        <w:suppressAutoHyphens/>
        <w:jc w:val="both"/>
        <w:rPr>
          <w:rFonts w:ascii="Times New Roman" w:eastAsia="Times New Roman" w:hAnsi="Times New Roman" w:cs="Times New Roman"/>
          <w:b/>
          <w:bCs/>
          <w:spacing w:val="-2"/>
        </w:rPr>
      </w:pPr>
      <w:r w:rsidRPr="00524A36">
        <w:rPr>
          <w:rFonts w:ascii="Times New Roman" w:eastAsia="Times New Roman" w:hAnsi="Times New Roman" w:cs="Times New Roman"/>
          <w:b/>
          <w:noProof/>
        </w:rPr>
        <w:t>National Coordination Unit of the</w:t>
      </w:r>
      <w:bookmarkStart w:id="1" w:name="_Hlk188519762"/>
      <w:r w:rsidRPr="00524A36">
        <w:rPr>
          <w:rFonts w:ascii="Times New Roman" w:eastAsia="Times New Roman" w:hAnsi="Times New Roman" w:cs="Times New Roman"/>
          <w:b/>
          <w:noProof/>
        </w:rPr>
        <w:t xml:space="preserve"> </w:t>
      </w:r>
      <w:r w:rsidRPr="00524A36">
        <w:rPr>
          <w:rFonts w:ascii="Times New Roman" w:eastAsia="Times New Roman" w:hAnsi="Times New Roman" w:cs="Times New Roman"/>
          <w:b/>
          <w:bCs/>
          <w:spacing w:val="-2"/>
        </w:rPr>
        <w:t>Mali-NSS Program</w:t>
      </w:r>
    </w:p>
    <w:p w14:paraId="248A5312" w14:textId="77777777" w:rsidR="003613CF" w:rsidRPr="00524A36" w:rsidRDefault="003613CF" w:rsidP="003613CF">
      <w:pPr>
        <w:suppressAutoHyphens/>
        <w:jc w:val="both"/>
        <w:rPr>
          <w:rFonts w:ascii="Times New Roman" w:eastAsia="Times New Roman" w:hAnsi="Times New Roman" w:cs="Times New Roman"/>
          <w:b/>
        </w:rPr>
      </w:pPr>
      <w:r w:rsidRPr="00524A36">
        <w:rPr>
          <w:rFonts w:ascii="Times New Roman" w:eastAsia="Calibri" w:hAnsi="Times New Roman" w:cs="Times New Roman"/>
          <w:noProof/>
        </w:rPr>
        <w:drawing>
          <wp:inline distT="0" distB="0" distL="0" distR="0" wp14:anchorId="69A1AE48" wp14:editId="7AA7EAB3">
            <wp:extent cx="885825" cy="552450"/>
            <wp:effectExtent l="0" t="0" r="9525" b="0"/>
            <wp:docPr id="1042618371" name="Image 30"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618371" name="Image 30" descr="Une image contenant texte, Police, logo, Graphiqu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r w:rsidRPr="00524A36">
        <w:rPr>
          <w:rFonts w:ascii="Times New Roman" w:eastAsia="Times New Roman" w:hAnsi="Times New Roman" w:cs="Times New Roman"/>
          <w:b/>
          <w:bCs/>
          <w:spacing w:val="-2"/>
        </w:rPr>
        <w:t xml:space="preserve">                                                                                               </w:t>
      </w:r>
      <w:bookmarkEnd w:id="1"/>
    </w:p>
    <w:p w14:paraId="38D4F6B1" w14:textId="5A9962E6" w:rsidR="00EE68F5" w:rsidRPr="0004205E" w:rsidRDefault="00EE68F5" w:rsidP="003613CF">
      <w:pPr>
        <w:jc w:val="center"/>
        <w:rPr>
          <w:rFonts w:ascii="Times New Roman" w:hAnsi="Times New Roman" w:cs="Times New Roman"/>
          <w:sz w:val="24"/>
          <w:szCs w:val="24"/>
        </w:rPr>
      </w:pPr>
      <w:r w:rsidRPr="0004205E">
        <w:rPr>
          <w:rFonts w:ascii="Times New Roman" w:hAnsi="Times New Roman" w:cs="Times New Roman"/>
          <w:b/>
          <w:bCs/>
          <w:sz w:val="24"/>
          <w:szCs w:val="24"/>
        </w:rPr>
        <w:t xml:space="preserve">Early Market Engagement </w:t>
      </w:r>
      <w:r w:rsidR="00D8699E" w:rsidRPr="0004205E">
        <w:rPr>
          <w:rFonts w:ascii="Times New Roman" w:hAnsi="Times New Roman" w:cs="Times New Roman"/>
          <w:b/>
          <w:bCs/>
          <w:sz w:val="24"/>
          <w:szCs w:val="24"/>
        </w:rPr>
        <w:t xml:space="preserve">(EME) </w:t>
      </w:r>
      <w:r w:rsidRPr="0004205E">
        <w:rPr>
          <w:rFonts w:ascii="Times New Roman" w:hAnsi="Times New Roman" w:cs="Times New Roman"/>
          <w:b/>
          <w:bCs/>
          <w:sz w:val="24"/>
          <w:szCs w:val="24"/>
        </w:rPr>
        <w:t xml:space="preserve">Notice for the rehabilitation and paving work on the </w:t>
      </w:r>
      <w:proofErr w:type="spellStart"/>
      <w:r w:rsidRPr="0004205E">
        <w:rPr>
          <w:rFonts w:ascii="Times New Roman" w:hAnsi="Times New Roman" w:cs="Times New Roman"/>
          <w:b/>
          <w:bCs/>
          <w:sz w:val="24"/>
          <w:szCs w:val="24"/>
        </w:rPr>
        <w:t>Diéma-</w:t>
      </w:r>
      <w:r w:rsidR="007A46DC" w:rsidRPr="0004205E">
        <w:rPr>
          <w:rFonts w:ascii="Times New Roman" w:hAnsi="Times New Roman" w:cs="Times New Roman"/>
          <w:b/>
          <w:bCs/>
          <w:sz w:val="24"/>
          <w:szCs w:val="24"/>
        </w:rPr>
        <w:t>Sandaré</w:t>
      </w:r>
      <w:proofErr w:type="spellEnd"/>
      <w:r w:rsidR="007A46DC" w:rsidRPr="0004205E">
        <w:rPr>
          <w:rFonts w:ascii="Times New Roman" w:hAnsi="Times New Roman" w:cs="Times New Roman"/>
          <w:b/>
          <w:bCs/>
          <w:sz w:val="24"/>
          <w:szCs w:val="24"/>
        </w:rPr>
        <w:t xml:space="preserve"> section</w:t>
      </w:r>
    </w:p>
    <w:p w14:paraId="5D08A8DC" w14:textId="01A1E0EE" w:rsidR="00EE68F5" w:rsidRPr="0004205E" w:rsidRDefault="00EE68F5" w:rsidP="00EE68F5">
      <w:pPr>
        <w:rPr>
          <w:rFonts w:ascii="Times New Roman" w:hAnsi="Times New Roman" w:cs="Times New Roman"/>
          <w:sz w:val="24"/>
          <w:szCs w:val="24"/>
        </w:rPr>
      </w:pPr>
      <w:r w:rsidRPr="0004205E">
        <w:rPr>
          <w:rFonts w:ascii="Times New Roman" w:hAnsi="Times New Roman" w:cs="Times New Roman"/>
          <w:b/>
          <w:bCs/>
          <w:sz w:val="24"/>
          <w:szCs w:val="24"/>
        </w:rPr>
        <w:t xml:space="preserve">Subject: </w:t>
      </w:r>
      <w:r w:rsidR="00CC4C44" w:rsidRPr="00CC4C44">
        <w:rPr>
          <w:rFonts w:ascii="Times New Roman" w:hAnsi="Times New Roman" w:cs="Times New Roman"/>
          <w:b/>
          <w:bCs/>
          <w:sz w:val="24"/>
          <w:szCs w:val="24"/>
        </w:rPr>
        <w:t>Mali Road Infrastructure Connectivity and Resilience Improvement Program</w:t>
      </w:r>
      <w:r w:rsidR="00CC4C44" w:rsidRPr="00CC4C44">
        <w:rPr>
          <w:rFonts w:ascii="Times New Roman" w:hAnsi="Times New Roman" w:cs="Times New Roman"/>
          <w:b/>
          <w:bCs/>
          <w:sz w:val="24"/>
          <w:szCs w:val="24"/>
        </w:rPr>
        <w:br/>
        <w:t xml:space="preserve">(Mali Nafa Soro </w:t>
      </w:r>
      <w:proofErr w:type="spellStart"/>
      <w:r w:rsidR="00CC4C44" w:rsidRPr="00CC4C44">
        <w:rPr>
          <w:rFonts w:ascii="Times New Roman" w:hAnsi="Times New Roman" w:cs="Times New Roman"/>
          <w:b/>
          <w:bCs/>
          <w:sz w:val="24"/>
          <w:szCs w:val="24"/>
        </w:rPr>
        <w:t>Siraw</w:t>
      </w:r>
      <w:proofErr w:type="spellEnd"/>
      <w:r w:rsidR="00CC4C44" w:rsidRPr="00CC4C44">
        <w:rPr>
          <w:rFonts w:ascii="Times New Roman" w:hAnsi="Times New Roman" w:cs="Times New Roman"/>
          <w:b/>
          <w:bCs/>
          <w:sz w:val="24"/>
          <w:szCs w:val="24"/>
        </w:rPr>
        <w:t>, Mali-NSS)</w:t>
      </w:r>
    </w:p>
    <w:p w14:paraId="3042E17B" w14:textId="77777777" w:rsidR="00EE68F5" w:rsidRPr="0004205E" w:rsidRDefault="00EE68F5" w:rsidP="00EE68F5">
      <w:pPr>
        <w:rPr>
          <w:rFonts w:ascii="Times New Roman" w:hAnsi="Times New Roman" w:cs="Times New Roman"/>
          <w:sz w:val="24"/>
          <w:szCs w:val="24"/>
        </w:rPr>
      </w:pPr>
      <w:r w:rsidRPr="0004205E">
        <w:rPr>
          <w:rFonts w:ascii="Times New Roman" w:hAnsi="Times New Roman" w:cs="Times New Roman"/>
          <w:b/>
          <w:bCs/>
          <w:sz w:val="24"/>
          <w:szCs w:val="24"/>
        </w:rPr>
        <w:t>P507921</w:t>
      </w:r>
    </w:p>
    <w:p w14:paraId="10D0F232" w14:textId="04648CCC" w:rsidR="00EE68F5" w:rsidRPr="0004205E" w:rsidRDefault="000756B1" w:rsidP="00EE68F5">
      <w:pPr>
        <w:rPr>
          <w:rFonts w:ascii="Times New Roman" w:hAnsi="Times New Roman" w:cs="Times New Roman"/>
          <w:sz w:val="24"/>
          <w:szCs w:val="24"/>
        </w:rPr>
      </w:pPr>
      <w:r>
        <w:rPr>
          <w:rFonts w:ascii="Times New Roman" w:hAnsi="Times New Roman" w:cs="Times New Roman"/>
          <w:b/>
          <w:bCs/>
          <w:sz w:val="24"/>
          <w:szCs w:val="24"/>
        </w:rPr>
        <w:t xml:space="preserve">Early Engagement </w:t>
      </w:r>
      <w:r w:rsidR="009656BB">
        <w:rPr>
          <w:rFonts w:ascii="Times New Roman" w:hAnsi="Times New Roman" w:cs="Times New Roman"/>
          <w:b/>
          <w:bCs/>
          <w:sz w:val="24"/>
          <w:szCs w:val="24"/>
        </w:rPr>
        <w:t xml:space="preserve">Market </w:t>
      </w:r>
      <w:r>
        <w:rPr>
          <w:rFonts w:ascii="Times New Roman" w:hAnsi="Times New Roman" w:cs="Times New Roman"/>
          <w:b/>
          <w:bCs/>
          <w:sz w:val="24"/>
          <w:szCs w:val="24"/>
        </w:rPr>
        <w:t>o</w:t>
      </w:r>
      <w:r w:rsidR="00CC4C44">
        <w:rPr>
          <w:rFonts w:ascii="Times New Roman" w:hAnsi="Times New Roman" w:cs="Times New Roman"/>
          <w:b/>
          <w:bCs/>
          <w:sz w:val="24"/>
          <w:szCs w:val="24"/>
        </w:rPr>
        <w:t>n</w:t>
      </w:r>
      <w:r w:rsidR="009656BB" w:rsidRPr="009656BB">
        <w:rPr>
          <w:rFonts w:ascii="Times New Roman" w:hAnsi="Times New Roman" w:cs="Times New Roman"/>
          <w:b/>
          <w:bCs/>
          <w:sz w:val="24"/>
          <w:szCs w:val="24"/>
        </w:rPr>
        <w:t xml:space="preserve"> </w:t>
      </w:r>
      <w:r>
        <w:rPr>
          <w:rFonts w:ascii="Times New Roman" w:hAnsi="Times New Roman" w:cs="Times New Roman"/>
          <w:b/>
          <w:bCs/>
          <w:sz w:val="24"/>
          <w:szCs w:val="24"/>
        </w:rPr>
        <w:t>Transport Infrastructure</w:t>
      </w:r>
    </w:p>
    <w:p w14:paraId="3AE818B8" w14:textId="63BD4898" w:rsidR="00EE68F5" w:rsidRPr="0004205E" w:rsidRDefault="005E7C52" w:rsidP="00EE68F5">
      <w:pPr>
        <w:rPr>
          <w:rFonts w:ascii="Times New Roman" w:hAnsi="Times New Roman" w:cs="Times New Roman"/>
          <w:b/>
          <w:bCs/>
          <w:sz w:val="24"/>
          <w:szCs w:val="24"/>
        </w:rPr>
      </w:pPr>
      <w:r w:rsidRPr="0004205E">
        <w:rPr>
          <w:rFonts w:ascii="Times New Roman" w:hAnsi="Times New Roman" w:cs="Times New Roman"/>
          <w:b/>
          <w:bCs/>
          <w:sz w:val="24"/>
          <w:szCs w:val="24"/>
        </w:rPr>
        <w:t>Published on June 2, 2025</w:t>
      </w:r>
    </w:p>
    <w:p w14:paraId="4E021BDF" w14:textId="5A204A87" w:rsidR="005E7C52" w:rsidRPr="0004205E" w:rsidRDefault="00CC4C44" w:rsidP="00EE68F5">
      <w:pPr>
        <w:rPr>
          <w:rFonts w:ascii="Times New Roman" w:hAnsi="Times New Roman" w:cs="Times New Roman"/>
          <w:sz w:val="24"/>
          <w:szCs w:val="24"/>
        </w:rPr>
      </w:pPr>
      <w:r>
        <w:rPr>
          <w:rFonts w:ascii="Times New Roman" w:hAnsi="Times New Roman" w:cs="Times New Roman"/>
          <w:b/>
          <w:bCs/>
          <w:sz w:val="24"/>
          <w:szCs w:val="24"/>
        </w:rPr>
        <w:t>C</w:t>
      </w:r>
      <w:r w:rsidR="009605F8" w:rsidRPr="0004205E">
        <w:rPr>
          <w:rFonts w:ascii="Times New Roman" w:hAnsi="Times New Roman" w:cs="Times New Roman"/>
          <w:b/>
          <w:bCs/>
          <w:sz w:val="24"/>
          <w:szCs w:val="24"/>
        </w:rPr>
        <w:t>onsultation</w:t>
      </w:r>
      <w:r>
        <w:rPr>
          <w:rFonts w:ascii="Times New Roman" w:hAnsi="Times New Roman" w:cs="Times New Roman"/>
          <w:b/>
          <w:bCs/>
          <w:sz w:val="24"/>
          <w:szCs w:val="24"/>
        </w:rPr>
        <w:t xml:space="preserve"> venue</w:t>
      </w:r>
      <w:r w:rsidR="009605F8" w:rsidRPr="0004205E">
        <w:rPr>
          <w:rFonts w:ascii="Times New Roman" w:hAnsi="Times New Roman" w:cs="Times New Roman"/>
          <w:b/>
          <w:bCs/>
          <w:sz w:val="24"/>
          <w:szCs w:val="24"/>
        </w:rPr>
        <w:t xml:space="preserve">: </w:t>
      </w:r>
      <w:r w:rsidR="00A42FA3" w:rsidRPr="00A42FA3">
        <w:rPr>
          <w:rFonts w:ascii="Times New Roman" w:hAnsi="Times New Roman" w:cs="Times New Roman"/>
          <w:sz w:val="24"/>
          <w:szCs w:val="24"/>
        </w:rPr>
        <w:t xml:space="preserve">Bamako, at the World Bank offices, Waly Diawara Building, Avenue du Mali, </w:t>
      </w:r>
      <w:proofErr w:type="spellStart"/>
      <w:r w:rsidR="00A42FA3" w:rsidRPr="00A42FA3">
        <w:rPr>
          <w:rFonts w:ascii="Times New Roman" w:hAnsi="Times New Roman" w:cs="Times New Roman"/>
          <w:sz w:val="24"/>
          <w:szCs w:val="24"/>
        </w:rPr>
        <w:t>Hamdallaye</w:t>
      </w:r>
      <w:proofErr w:type="spellEnd"/>
      <w:r w:rsidR="00A42FA3" w:rsidRPr="00A42FA3">
        <w:rPr>
          <w:rFonts w:ascii="Times New Roman" w:hAnsi="Times New Roman" w:cs="Times New Roman"/>
          <w:sz w:val="24"/>
          <w:szCs w:val="24"/>
        </w:rPr>
        <w:t xml:space="preserve"> ACI 2000 – </w:t>
      </w:r>
      <w:r w:rsidR="00A42FA3">
        <w:rPr>
          <w:rFonts w:ascii="Times New Roman" w:hAnsi="Times New Roman" w:cs="Times New Roman"/>
          <w:sz w:val="24"/>
          <w:szCs w:val="24"/>
        </w:rPr>
        <w:t>Phone</w:t>
      </w:r>
      <w:r w:rsidR="00A42FA3" w:rsidRPr="00A42FA3">
        <w:rPr>
          <w:rFonts w:ascii="Times New Roman" w:hAnsi="Times New Roman" w:cs="Times New Roman"/>
          <w:sz w:val="24"/>
          <w:szCs w:val="24"/>
        </w:rPr>
        <w:t xml:space="preserve">: (+223) 20 70 22 00, on </w:t>
      </w:r>
      <w:r w:rsidR="00A42FA3" w:rsidRPr="00A42FA3">
        <w:rPr>
          <w:rFonts w:ascii="Times New Roman" w:hAnsi="Times New Roman" w:cs="Times New Roman"/>
          <w:b/>
          <w:bCs/>
          <w:sz w:val="24"/>
          <w:szCs w:val="24"/>
        </w:rPr>
        <w:t xml:space="preserve">Tuesday, June 24, 2025 at 10:00 </w:t>
      </w:r>
      <w:r w:rsidR="00CA6CBF">
        <w:rPr>
          <w:rFonts w:ascii="Times New Roman" w:hAnsi="Times New Roman" w:cs="Times New Roman"/>
          <w:b/>
          <w:bCs/>
          <w:sz w:val="24"/>
          <w:szCs w:val="24"/>
        </w:rPr>
        <w:t>a</w:t>
      </w:r>
      <w:r w:rsidR="00A42FA3" w:rsidRPr="00A42FA3">
        <w:rPr>
          <w:rFonts w:ascii="Times New Roman" w:hAnsi="Times New Roman" w:cs="Times New Roman"/>
          <w:b/>
          <w:bCs/>
          <w:sz w:val="24"/>
          <w:szCs w:val="24"/>
        </w:rPr>
        <w:t>.</w:t>
      </w:r>
      <w:r w:rsidR="00CA6CBF">
        <w:rPr>
          <w:rFonts w:ascii="Times New Roman" w:hAnsi="Times New Roman" w:cs="Times New Roman"/>
          <w:b/>
          <w:bCs/>
          <w:sz w:val="24"/>
          <w:szCs w:val="24"/>
        </w:rPr>
        <w:t>m</w:t>
      </w:r>
      <w:r w:rsidR="00A42FA3" w:rsidRPr="00A42FA3">
        <w:rPr>
          <w:rFonts w:ascii="Times New Roman" w:hAnsi="Times New Roman" w:cs="Times New Roman"/>
          <w:b/>
          <w:bCs/>
          <w:sz w:val="24"/>
          <w:szCs w:val="24"/>
        </w:rPr>
        <w:t>. GMT</w:t>
      </w:r>
      <w:r w:rsidR="00A42FA3" w:rsidRPr="00A42FA3">
        <w:rPr>
          <w:rFonts w:ascii="Times New Roman" w:hAnsi="Times New Roman" w:cs="Times New Roman"/>
          <w:sz w:val="24"/>
          <w:szCs w:val="24"/>
        </w:rPr>
        <w:t xml:space="preserve">. A </w:t>
      </w:r>
      <w:r w:rsidR="00A42FA3" w:rsidRPr="00A42FA3">
        <w:rPr>
          <w:rFonts w:ascii="Times New Roman" w:hAnsi="Times New Roman" w:cs="Times New Roman"/>
          <w:b/>
          <w:bCs/>
          <w:sz w:val="24"/>
          <w:szCs w:val="24"/>
        </w:rPr>
        <w:t>MICROSOFT TEAMS</w:t>
      </w:r>
      <w:r w:rsidR="00A42FA3" w:rsidRPr="00A42FA3">
        <w:rPr>
          <w:rFonts w:ascii="Times New Roman" w:hAnsi="Times New Roman" w:cs="Times New Roman"/>
          <w:sz w:val="24"/>
          <w:szCs w:val="24"/>
        </w:rPr>
        <w:t xml:space="preserve"> link is </w:t>
      </w:r>
      <w:r w:rsidR="00776008" w:rsidRPr="00776008">
        <w:rPr>
          <w:rFonts w:ascii="Times New Roman" w:hAnsi="Times New Roman" w:cs="Times New Roman"/>
          <w:sz w:val="24"/>
          <w:szCs w:val="24"/>
        </w:rPr>
        <w:t xml:space="preserve">included </w:t>
      </w:r>
      <w:r w:rsidR="00A42FA3" w:rsidRPr="00A42FA3">
        <w:rPr>
          <w:rFonts w:ascii="Times New Roman" w:hAnsi="Times New Roman" w:cs="Times New Roman"/>
          <w:sz w:val="24"/>
          <w:szCs w:val="24"/>
        </w:rPr>
        <w:t xml:space="preserve">for all participants wishing to </w:t>
      </w:r>
      <w:r w:rsidR="00776008" w:rsidRPr="00776008">
        <w:rPr>
          <w:rFonts w:ascii="Times New Roman" w:hAnsi="Times New Roman" w:cs="Times New Roman"/>
          <w:sz w:val="24"/>
          <w:szCs w:val="24"/>
        </w:rPr>
        <w:t xml:space="preserve">attend </w:t>
      </w:r>
      <w:r w:rsidR="00A42FA3">
        <w:rPr>
          <w:rFonts w:ascii="Times New Roman" w:hAnsi="Times New Roman" w:cs="Times New Roman"/>
          <w:sz w:val="24"/>
          <w:szCs w:val="24"/>
        </w:rPr>
        <w:t>the meeting</w:t>
      </w:r>
      <w:r w:rsidR="00776008" w:rsidRPr="00776008">
        <w:t xml:space="preserve"> </w:t>
      </w:r>
      <w:r w:rsidR="00776008" w:rsidRPr="00776008">
        <w:rPr>
          <w:rFonts w:ascii="Times New Roman" w:hAnsi="Times New Roman" w:cs="Times New Roman"/>
          <w:sz w:val="24"/>
          <w:szCs w:val="24"/>
        </w:rPr>
        <w:t>virtually</w:t>
      </w:r>
      <w:r w:rsidR="00A42FA3" w:rsidRPr="00A42FA3">
        <w:rPr>
          <w:rFonts w:ascii="Times New Roman" w:hAnsi="Times New Roman" w:cs="Times New Roman"/>
          <w:sz w:val="24"/>
          <w:szCs w:val="24"/>
        </w:rPr>
        <w:t>.</w:t>
      </w:r>
    </w:p>
    <w:p w14:paraId="7509194A" w14:textId="77777777" w:rsidR="00EE68F5" w:rsidRPr="0004205E" w:rsidRDefault="00EE68F5" w:rsidP="00EE68F5">
      <w:pPr>
        <w:rPr>
          <w:rFonts w:ascii="Times New Roman" w:hAnsi="Times New Roman" w:cs="Times New Roman"/>
          <w:b/>
          <w:bCs/>
          <w:sz w:val="24"/>
          <w:szCs w:val="24"/>
        </w:rPr>
      </w:pPr>
      <w:r w:rsidRPr="0004205E">
        <w:rPr>
          <w:rFonts w:ascii="Times New Roman" w:hAnsi="Times New Roman" w:cs="Times New Roman"/>
          <w:b/>
          <w:bCs/>
          <w:sz w:val="24"/>
          <w:szCs w:val="24"/>
        </w:rPr>
        <w:t>Introduction</w:t>
      </w:r>
    </w:p>
    <w:p w14:paraId="7DE376B9" w14:textId="0CA3043C" w:rsidR="00D9699F" w:rsidRDefault="00D9699F" w:rsidP="00EE68F5">
      <w:pPr>
        <w:rPr>
          <w:rFonts w:ascii="Times New Roman" w:hAnsi="Times New Roman" w:cs="Times New Roman"/>
          <w:b/>
          <w:bCs/>
          <w:sz w:val="24"/>
          <w:szCs w:val="24"/>
        </w:rPr>
      </w:pPr>
      <w:r w:rsidRPr="00D9699F">
        <w:rPr>
          <w:rFonts w:ascii="Times New Roman" w:hAnsi="Times New Roman" w:cs="Times New Roman"/>
          <w:sz w:val="24"/>
          <w:szCs w:val="24"/>
        </w:rPr>
        <w:t xml:space="preserve">The Ministry of Transport and Infrastructure (MTI) intends to initiate a dialogue with market stakeholders to gather insights and feedback regarding the rehabilitation and paving of the </w:t>
      </w:r>
      <w:proofErr w:type="spellStart"/>
      <w:r w:rsidRPr="00D9699F">
        <w:rPr>
          <w:rFonts w:ascii="Times New Roman" w:hAnsi="Times New Roman" w:cs="Times New Roman"/>
          <w:sz w:val="24"/>
          <w:szCs w:val="24"/>
        </w:rPr>
        <w:t>Diéma</w:t>
      </w:r>
      <w:proofErr w:type="spellEnd"/>
      <w:r w:rsidRPr="00D9699F">
        <w:rPr>
          <w:rFonts w:ascii="Times New Roman" w:hAnsi="Times New Roman" w:cs="Times New Roman"/>
          <w:sz w:val="24"/>
          <w:szCs w:val="24"/>
        </w:rPr>
        <w:t>–</w:t>
      </w:r>
      <w:proofErr w:type="spellStart"/>
      <w:r w:rsidRPr="00D9699F">
        <w:rPr>
          <w:rFonts w:ascii="Times New Roman" w:hAnsi="Times New Roman" w:cs="Times New Roman"/>
          <w:sz w:val="24"/>
          <w:szCs w:val="24"/>
        </w:rPr>
        <w:t>Sandaré</w:t>
      </w:r>
      <w:proofErr w:type="spellEnd"/>
      <w:r w:rsidRPr="00D9699F">
        <w:rPr>
          <w:rFonts w:ascii="Times New Roman" w:hAnsi="Times New Roman" w:cs="Times New Roman"/>
          <w:sz w:val="24"/>
          <w:szCs w:val="24"/>
        </w:rPr>
        <w:t xml:space="preserve"> section (137.668 km) along the Bamako–Dakar Corridor (Northern route), financed by the World Bank under the Mali Nafa Soro </w:t>
      </w:r>
      <w:proofErr w:type="spellStart"/>
      <w:r w:rsidRPr="00D9699F">
        <w:rPr>
          <w:rFonts w:ascii="Times New Roman" w:hAnsi="Times New Roman" w:cs="Times New Roman"/>
          <w:sz w:val="24"/>
          <w:szCs w:val="24"/>
        </w:rPr>
        <w:t>Siraw</w:t>
      </w:r>
      <w:proofErr w:type="spellEnd"/>
      <w:r w:rsidRPr="00D9699F">
        <w:rPr>
          <w:rFonts w:ascii="Times New Roman" w:hAnsi="Times New Roman" w:cs="Times New Roman"/>
          <w:sz w:val="24"/>
          <w:szCs w:val="24"/>
        </w:rPr>
        <w:t xml:space="preserve"> (Mali-NSS) Project. This consultation aims to assess market interest, analyze feasibility, and refine project design to ensure its success.</w:t>
      </w:r>
      <w:r w:rsidRPr="00D9699F">
        <w:rPr>
          <w:rFonts w:ascii="Times New Roman" w:hAnsi="Times New Roman" w:cs="Times New Roman"/>
          <w:b/>
          <w:bCs/>
          <w:sz w:val="24"/>
          <w:szCs w:val="24"/>
        </w:rPr>
        <w:t xml:space="preserve"> </w:t>
      </w:r>
    </w:p>
    <w:p w14:paraId="49D9AE0C" w14:textId="065B76A6" w:rsidR="00EE68F5" w:rsidRPr="0004205E" w:rsidRDefault="00EE68F5" w:rsidP="00EE68F5">
      <w:pPr>
        <w:rPr>
          <w:rFonts w:ascii="Times New Roman" w:hAnsi="Times New Roman" w:cs="Times New Roman"/>
          <w:b/>
          <w:bCs/>
          <w:sz w:val="24"/>
          <w:szCs w:val="24"/>
        </w:rPr>
      </w:pPr>
      <w:r w:rsidRPr="0004205E">
        <w:rPr>
          <w:rFonts w:ascii="Times New Roman" w:hAnsi="Times New Roman" w:cs="Times New Roman"/>
          <w:b/>
          <w:bCs/>
          <w:sz w:val="24"/>
          <w:szCs w:val="24"/>
        </w:rPr>
        <w:t>Objectives of the Consultation</w:t>
      </w:r>
    </w:p>
    <w:p w14:paraId="3EF6CC04" w14:textId="1F7758FD" w:rsidR="00EE68F5" w:rsidRPr="0004205E" w:rsidRDefault="00D9699F" w:rsidP="00EE68F5">
      <w:pPr>
        <w:numPr>
          <w:ilvl w:val="0"/>
          <w:numId w:val="1"/>
        </w:numPr>
        <w:rPr>
          <w:rFonts w:ascii="Times New Roman" w:hAnsi="Times New Roman" w:cs="Times New Roman"/>
          <w:sz w:val="24"/>
          <w:szCs w:val="24"/>
        </w:rPr>
      </w:pPr>
      <w:r w:rsidRPr="00D9699F">
        <w:rPr>
          <w:rFonts w:ascii="Times New Roman" w:hAnsi="Times New Roman" w:cs="Times New Roman"/>
          <w:sz w:val="24"/>
          <w:szCs w:val="24"/>
        </w:rPr>
        <w:t>Assess market interest in the proposed project and forthcoming contracts</w:t>
      </w:r>
      <w:r w:rsidR="00EE68F5" w:rsidRPr="0004205E">
        <w:rPr>
          <w:rFonts w:ascii="Times New Roman" w:hAnsi="Times New Roman" w:cs="Times New Roman"/>
          <w:sz w:val="24"/>
          <w:szCs w:val="24"/>
        </w:rPr>
        <w:t>.</w:t>
      </w:r>
    </w:p>
    <w:p w14:paraId="37A4D93E" w14:textId="164CF9AA" w:rsidR="000213E7" w:rsidRPr="0004205E" w:rsidRDefault="00D9699F" w:rsidP="0025369E">
      <w:pPr>
        <w:numPr>
          <w:ilvl w:val="0"/>
          <w:numId w:val="1"/>
        </w:numPr>
        <w:rPr>
          <w:rFonts w:ascii="Times New Roman" w:hAnsi="Times New Roman" w:cs="Times New Roman"/>
          <w:sz w:val="24"/>
          <w:szCs w:val="24"/>
        </w:rPr>
      </w:pPr>
      <w:r w:rsidRPr="00D9699F">
        <w:rPr>
          <w:rFonts w:ascii="Times New Roman" w:hAnsi="Times New Roman" w:cs="Times New Roman"/>
          <w:sz w:val="24"/>
          <w:szCs w:val="24"/>
        </w:rPr>
        <w:t>Collect feedback on key requirements, project risks, and opportunities.</w:t>
      </w:r>
    </w:p>
    <w:p w14:paraId="43DCBF89" w14:textId="77777777" w:rsidR="00EE68F5" w:rsidRPr="0004205E" w:rsidRDefault="00EE68F5" w:rsidP="00EE68F5">
      <w:pPr>
        <w:numPr>
          <w:ilvl w:val="0"/>
          <w:numId w:val="1"/>
        </w:numPr>
        <w:rPr>
          <w:rFonts w:ascii="Times New Roman" w:hAnsi="Times New Roman" w:cs="Times New Roman"/>
          <w:sz w:val="24"/>
          <w:szCs w:val="24"/>
        </w:rPr>
      </w:pPr>
      <w:r w:rsidRPr="0004205E">
        <w:rPr>
          <w:rFonts w:ascii="Times New Roman" w:hAnsi="Times New Roman" w:cs="Times New Roman"/>
          <w:sz w:val="24"/>
          <w:szCs w:val="24"/>
        </w:rPr>
        <w:t>Identify potential private sector partners.</w:t>
      </w:r>
    </w:p>
    <w:p w14:paraId="06ACB4CD" w14:textId="621571D5" w:rsidR="00EE68F5" w:rsidRPr="0004205E" w:rsidRDefault="00D9699F" w:rsidP="00EE68F5">
      <w:pPr>
        <w:numPr>
          <w:ilvl w:val="0"/>
          <w:numId w:val="1"/>
        </w:numPr>
        <w:rPr>
          <w:rFonts w:ascii="Times New Roman" w:hAnsi="Times New Roman" w:cs="Times New Roman"/>
          <w:sz w:val="24"/>
          <w:szCs w:val="24"/>
        </w:rPr>
      </w:pPr>
      <w:r w:rsidRPr="00D9699F">
        <w:rPr>
          <w:rFonts w:ascii="Times New Roman" w:hAnsi="Times New Roman" w:cs="Times New Roman"/>
          <w:sz w:val="24"/>
          <w:szCs w:val="24"/>
        </w:rPr>
        <w:t>Optimize project structuring and improve the bidding documents (BDs) to maximize national and international participation ahead of their official launch.</w:t>
      </w:r>
    </w:p>
    <w:p w14:paraId="6A0522D0" w14:textId="77777777" w:rsidR="00316C31" w:rsidRDefault="00316C31" w:rsidP="00EE68F5">
      <w:pPr>
        <w:rPr>
          <w:rFonts w:ascii="Times New Roman" w:hAnsi="Times New Roman" w:cs="Times New Roman"/>
          <w:b/>
          <w:bCs/>
          <w:sz w:val="24"/>
          <w:szCs w:val="24"/>
        </w:rPr>
      </w:pPr>
    </w:p>
    <w:p w14:paraId="2AA0E1A2" w14:textId="0B9EE6B3" w:rsidR="00EE68F5" w:rsidRPr="0004205E" w:rsidRDefault="00316C31" w:rsidP="00EE68F5">
      <w:pPr>
        <w:rPr>
          <w:rFonts w:ascii="Times New Roman" w:hAnsi="Times New Roman" w:cs="Times New Roman"/>
          <w:b/>
          <w:bCs/>
          <w:sz w:val="24"/>
          <w:szCs w:val="24"/>
        </w:rPr>
      </w:pPr>
      <w:r w:rsidRPr="00316C31">
        <w:rPr>
          <w:rFonts w:ascii="Times New Roman" w:hAnsi="Times New Roman" w:cs="Times New Roman"/>
          <w:b/>
          <w:bCs/>
          <w:sz w:val="24"/>
          <w:szCs w:val="24"/>
        </w:rPr>
        <w:lastRenderedPageBreak/>
        <w:t>Program Overview</w:t>
      </w:r>
      <w:r w:rsidR="00A614AC" w:rsidRPr="0004205E">
        <w:rPr>
          <w:rStyle w:val="Appelnotedebasdep"/>
          <w:rFonts w:ascii="Times New Roman" w:hAnsi="Times New Roman" w:cs="Times New Roman"/>
          <w:b/>
          <w:bCs/>
          <w:sz w:val="24"/>
          <w:szCs w:val="24"/>
        </w:rPr>
        <w:footnoteReference w:id="1"/>
      </w:r>
    </w:p>
    <w:p w14:paraId="78FCD06D" w14:textId="772B3B69" w:rsidR="00EE68F5" w:rsidRPr="0004205E" w:rsidRDefault="00316C31" w:rsidP="00EE68F5">
      <w:pPr>
        <w:rPr>
          <w:rFonts w:ascii="Times New Roman" w:hAnsi="Times New Roman" w:cs="Times New Roman"/>
          <w:sz w:val="24"/>
          <w:szCs w:val="24"/>
        </w:rPr>
      </w:pPr>
      <w:r w:rsidRPr="0004205E">
        <w:rPr>
          <w:rFonts w:ascii="Times New Roman" w:hAnsi="Times New Roman" w:cs="Times New Roman"/>
          <w:b/>
          <w:bCs/>
          <w:sz w:val="24"/>
          <w:szCs w:val="24"/>
        </w:rPr>
        <w:t>Objective:</w:t>
      </w:r>
      <w:r w:rsidR="00EE68F5" w:rsidRPr="0004205E">
        <w:rPr>
          <w:rFonts w:ascii="Times New Roman" w:hAnsi="Times New Roman" w:cs="Times New Roman"/>
          <w:sz w:val="24"/>
          <w:szCs w:val="24"/>
        </w:rPr>
        <w:t xml:space="preserve"> </w:t>
      </w:r>
      <w:r w:rsidRPr="00316C31">
        <w:rPr>
          <w:rFonts w:ascii="Times New Roman" w:hAnsi="Times New Roman" w:cs="Times New Roman"/>
          <w:sz w:val="24"/>
          <w:szCs w:val="24"/>
        </w:rPr>
        <w:t>To improve climate-resilient connectivity of Mali’s priority road corridors</w:t>
      </w:r>
      <w:r w:rsidR="00EE68F5" w:rsidRPr="0004205E">
        <w:rPr>
          <w:rFonts w:ascii="Times New Roman" w:hAnsi="Times New Roman" w:cs="Times New Roman"/>
          <w:sz w:val="24"/>
          <w:szCs w:val="24"/>
        </w:rPr>
        <w:t>.</w:t>
      </w:r>
    </w:p>
    <w:p w14:paraId="10C4079F" w14:textId="5DBEFF1C" w:rsidR="008768E0" w:rsidRPr="0004205E" w:rsidRDefault="00316C31" w:rsidP="008768E0">
      <w:pPr>
        <w:pStyle w:val="pf0"/>
      </w:pPr>
      <w:r w:rsidRPr="00316C31">
        <w:rPr>
          <w:rFonts w:eastAsiaTheme="majorEastAsia"/>
          <w:b/>
          <w:bCs/>
          <w:color w:val="424242"/>
          <w:shd w:val="clear" w:color="auto" w:fill="FFFFFF"/>
        </w:rPr>
        <w:t>Key Works under the Mali-NSS Program include:</w:t>
      </w:r>
    </w:p>
    <w:p w14:paraId="4B6527E4" w14:textId="2E4A0B4C" w:rsidR="008768E0" w:rsidRPr="00DA1185" w:rsidRDefault="008768E0" w:rsidP="00DA1185">
      <w:pPr>
        <w:pStyle w:val="pf1"/>
        <w:numPr>
          <w:ilvl w:val="0"/>
          <w:numId w:val="8"/>
        </w:numPr>
        <w:jc w:val="both"/>
        <w:rPr>
          <w:rFonts w:eastAsiaTheme="majorEastAsia"/>
          <w:color w:val="424242"/>
          <w:shd w:val="clear" w:color="auto" w:fill="FFFFFF"/>
        </w:rPr>
      </w:pPr>
      <w:r w:rsidRPr="00DA1185">
        <w:rPr>
          <w:rStyle w:val="cf01"/>
          <w:rFonts w:ascii="Times New Roman" w:eastAsiaTheme="majorEastAsia" w:hAnsi="Times New Roman" w:cs="Times New Roman"/>
          <w:sz w:val="24"/>
          <w:szCs w:val="24"/>
        </w:rPr>
        <w:t xml:space="preserve">Rehabilitation and paving </w:t>
      </w:r>
      <w:r w:rsidR="00DA1185" w:rsidRPr="00DA1185">
        <w:rPr>
          <w:rStyle w:val="cf21"/>
          <w:rFonts w:ascii="Times New Roman" w:eastAsiaTheme="majorEastAsia" w:hAnsi="Times New Roman" w:cs="Times New Roman"/>
          <w:sz w:val="24"/>
          <w:szCs w:val="24"/>
        </w:rPr>
        <w:t xml:space="preserve">of the 137.668 km </w:t>
      </w:r>
      <w:proofErr w:type="spellStart"/>
      <w:r w:rsidR="00DA1185" w:rsidRPr="00DA1185">
        <w:rPr>
          <w:rStyle w:val="cf21"/>
          <w:rFonts w:ascii="Times New Roman" w:eastAsiaTheme="majorEastAsia" w:hAnsi="Times New Roman" w:cs="Times New Roman"/>
          <w:sz w:val="24"/>
          <w:szCs w:val="24"/>
        </w:rPr>
        <w:t>Diéma</w:t>
      </w:r>
      <w:proofErr w:type="spellEnd"/>
      <w:r w:rsidR="00DA1185" w:rsidRPr="00DA1185">
        <w:rPr>
          <w:rStyle w:val="cf21"/>
          <w:rFonts w:ascii="Times New Roman" w:eastAsiaTheme="majorEastAsia" w:hAnsi="Times New Roman" w:cs="Times New Roman"/>
          <w:sz w:val="24"/>
          <w:szCs w:val="24"/>
        </w:rPr>
        <w:t>–</w:t>
      </w:r>
      <w:proofErr w:type="spellStart"/>
      <w:r w:rsidR="00DA1185" w:rsidRPr="00DA1185">
        <w:rPr>
          <w:rStyle w:val="cf21"/>
          <w:rFonts w:ascii="Times New Roman" w:eastAsiaTheme="majorEastAsia" w:hAnsi="Times New Roman" w:cs="Times New Roman"/>
          <w:sz w:val="24"/>
          <w:szCs w:val="24"/>
        </w:rPr>
        <w:t>Sandaré</w:t>
      </w:r>
      <w:proofErr w:type="spellEnd"/>
      <w:r w:rsidR="00DA1185" w:rsidRPr="00DA1185">
        <w:rPr>
          <w:rStyle w:val="cf21"/>
          <w:rFonts w:ascii="Times New Roman" w:eastAsiaTheme="majorEastAsia" w:hAnsi="Times New Roman" w:cs="Times New Roman"/>
          <w:sz w:val="24"/>
          <w:szCs w:val="24"/>
        </w:rPr>
        <w:t xml:space="preserve"> section of the Bamako–Dakar Northern Corridor, in two lots. This also includes the development of 11 km of urban roads, rehabilitation of a modern toll and weighing station in </w:t>
      </w:r>
      <w:proofErr w:type="spellStart"/>
      <w:r w:rsidR="00DA1185" w:rsidRPr="00DA1185">
        <w:rPr>
          <w:rStyle w:val="cf21"/>
          <w:rFonts w:ascii="Times New Roman" w:eastAsiaTheme="majorEastAsia" w:hAnsi="Times New Roman" w:cs="Times New Roman"/>
          <w:sz w:val="24"/>
          <w:szCs w:val="24"/>
        </w:rPr>
        <w:t>Diéma</w:t>
      </w:r>
      <w:proofErr w:type="spellEnd"/>
      <w:r w:rsidR="00DA1185" w:rsidRPr="00DA1185">
        <w:rPr>
          <w:rStyle w:val="cf21"/>
          <w:rFonts w:ascii="Times New Roman" w:eastAsiaTheme="majorEastAsia" w:hAnsi="Times New Roman" w:cs="Times New Roman"/>
          <w:sz w:val="24"/>
          <w:szCs w:val="24"/>
        </w:rPr>
        <w:t xml:space="preserve">, and construction of a truck parking area in </w:t>
      </w:r>
      <w:proofErr w:type="spellStart"/>
      <w:r w:rsidR="00DA1185" w:rsidRPr="00DA1185">
        <w:rPr>
          <w:rStyle w:val="cf21"/>
          <w:rFonts w:ascii="Times New Roman" w:eastAsiaTheme="majorEastAsia" w:hAnsi="Times New Roman" w:cs="Times New Roman"/>
          <w:sz w:val="24"/>
          <w:szCs w:val="24"/>
        </w:rPr>
        <w:t>Sandaré</w:t>
      </w:r>
      <w:proofErr w:type="spellEnd"/>
      <w:r w:rsidR="00DA1185" w:rsidRPr="00DA1185">
        <w:rPr>
          <w:rStyle w:val="cf21"/>
          <w:rFonts w:ascii="Times New Roman" w:eastAsiaTheme="majorEastAsia" w:hAnsi="Times New Roman" w:cs="Times New Roman"/>
          <w:sz w:val="24"/>
          <w:szCs w:val="24"/>
        </w:rPr>
        <w:t>.</w:t>
      </w:r>
      <w:r w:rsidR="00DA1185">
        <w:rPr>
          <w:rStyle w:val="cf21"/>
          <w:rFonts w:ascii="Times New Roman" w:eastAsiaTheme="majorEastAsia" w:hAnsi="Times New Roman" w:cs="Times New Roman"/>
          <w:sz w:val="24"/>
          <w:szCs w:val="24"/>
        </w:rPr>
        <w:t xml:space="preserve"> </w:t>
      </w:r>
      <w:r w:rsidR="00DA1185" w:rsidRPr="00DA1185">
        <w:rPr>
          <w:rStyle w:val="cf21"/>
          <w:rFonts w:ascii="Times New Roman" w:eastAsiaTheme="majorEastAsia" w:hAnsi="Times New Roman" w:cs="Times New Roman"/>
          <w:sz w:val="24"/>
          <w:szCs w:val="24"/>
        </w:rPr>
        <w:t>Supervision and control will be managed by two separate firms for the road works, while one firm will oversee urban roadworks in both cities.</w:t>
      </w:r>
    </w:p>
    <w:p w14:paraId="5CF8C066" w14:textId="40DB764A" w:rsidR="008768E0" w:rsidRPr="0004205E" w:rsidRDefault="00DA1185" w:rsidP="00524A36">
      <w:pPr>
        <w:pStyle w:val="pf1"/>
        <w:numPr>
          <w:ilvl w:val="0"/>
          <w:numId w:val="8"/>
        </w:numPr>
        <w:jc w:val="both"/>
      </w:pPr>
      <w:r w:rsidRPr="00DA1185">
        <w:rPr>
          <w:rFonts w:eastAsiaTheme="majorEastAsia"/>
          <w:b/>
          <w:bCs/>
          <w:color w:val="424242"/>
          <w:shd w:val="clear" w:color="auto" w:fill="FFFFFF"/>
        </w:rPr>
        <w:t xml:space="preserve">Development of 200 km of rural roads, along with hydraulic and ancillary infrastructure </w:t>
      </w:r>
      <w:r w:rsidRPr="00DA1185">
        <w:rPr>
          <w:rFonts w:eastAsiaTheme="majorEastAsia"/>
          <w:color w:val="424242"/>
          <w:shd w:val="clear" w:color="auto" w:fill="FFFFFF"/>
        </w:rPr>
        <w:t>in the Nioro and Kayes regions</w:t>
      </w:r>
      <w:r w:rsidR="008768E0" w:rsidRPr="0004205E">
        <w:rPr>
          <w:rStyle w:val="cf21"/>
          <w:rFonts w:ascii="Times New Roman" w:eastAsiaTheme="majorEastAsia" w:hAnsi="Times New Roman" w:cs="Times New Roman"/>
          <w:sz w:val="24"/>
          <w:szCs w:val="24"/>
        </w:rPr>
        <w:t xml:space="preserve">, </w:t>
      </w:r>
      <w:r w:rsidR="006B1C4B" w:rsidRPr="006B1C4B">
        <w:rPr>
          <w:rStyle w:val="cf21"/>
          <w:rFonts w:ascii="Times New Roman" w:eastAsiaTheme="majorEastAsia" w:hAnsi="Times New Roman" w:cs="Times New Roman"/>
          <w:sz w:val="24"/>
          <w:szCs w:val="24"/>
        </w:rPr>
        <w:t xml:space="preserve">within </w:t>
      </w:r>
      <w:r w:rsidR="008768E0" w:rsidRPr="0004205E">
        <w:rPr>
          <w:rStyle w:val="cf21"/>
          <w:rFonts w:ascii="Times New Roman" w:eastAsiaTheme="majorEastAsia" w:hAnsi="Times New Roman" w:cs="Times New Roman"/>
          <w:sz w:val="24"/>
          <w:szCs w:val="24"/>
        </w:rPr>
        <w:t xml:space="preserve">the area of influence of the </w:t>
      </w:r>
      <w:proofErr w:type="spellStart"/>
      <w:r w:rsidR="008768E0" w:rsidRPr="0004205E">
        <w:rPr>
          <w:rStyle w:val="cf21"/>
          <w:rFonts w:ascii="Times New Roman" w:eastAsiaTheme="majorEastAsia" w:hAnsi="Times New Roman" w:cs="Times New Roman"/>
          <w:sz w:val="24"/>
          <w:szCs w:val="24"/>
        </w:rPr>
        <w:t>Diéma</w:t>
      </w:r>
      <w:proofErr w:type="spellEnd"/>
      <w:r w:rsidR="008768E0" w:rsidRPr="0004205E">
        <w:rPr>
          <w:rStyle w:val="cf21"/>
          <w:rFonts w:ascii="Times New Roman" w:eastAsiaTheme="majorEastAsia" w:hAnsi="Times New Roman" w:cs="Times New Roman"/>
          <w:sz w:val="24"/>
          <w:szCs w:val="24"/>
        </w:rPr>
        <w:t xml:space="preserve">- </w:t>
      </w:r>
      <w:proofErr w:type="spellStart"/>
      <w:r w:rsidR="008768E0" w:rsidRPr="0004205E">
        <w:rPr>
          <w:rStyle w:val="cf21"/>
          <w:rFonts w:ascii="Times New Roman" w:eastAsiaTheme="majorEastAsia" w:hAnsi="Times New Roman" w:cs="Times New Roman"/>
          <w:sz w:val="24"/>
          <w:szCs w:val="24"/>
        </w:rPr>
        <w:t>Sandaré</w:t>
      </w:r>
      <w:proofErr w:type="spellEnd"/>
      <w:r w:rsidR="008768E0" w:rsidRPr="0004205E">
        <w:rPr>
          <w:rStyle w:val="cf21"/>
          <w:rFonts w:ascii="Times New Roman" w:eastAsiaTheme="majorEastAsia" w:hAnsi="Times New Roman" w:cs="Times New Roman"/>
          <w:sz w:val="24"/>
          <w:szCs w:val="24"/>
        </w:rPr>
        <w:t xml:space="preserve"> section of the Bamako – Dakar </w:t>
      </w:r>
      <w:r w:rsidR="006B1C4B" w:rsidRPr="006B1C4B">
        <w:rPr>
          <w:rFonts w:eastAsiaTheme="majorEastAsia"/>
          <w:color w:val="424242"/>
          <w:shd w:val="clear" w:color="auto" w:fill="FFFFFF"/>
        </w:rPr>
        <w:t>Northern Corridor</w:t>
      </w:r>
      <w:r w:rsidR="008768E0" w:rsidRPr="0004205E">
        <w:rPr>
          <w:rStyle w:val="cf21"/>
          <w:rFonts w:ascii="Times New Roman" w:eastAsiaTheme="majorEastAsia" w:hAnsi="Times New Roman" w:cs="Times New Roman"/>
          <w:sz w:val="24"/>
          <w:szCs w:val="24"/>
        </w:rPr>
        <w:t>.</w:t>
      </w:r>
    </w:p>
    <w:p w14:paraId="728F43AA" w14:textId="18864C25" w:rsidR="00350CDD" w:rsidRPr="0004205E" w:rsidRDefault="00D812FD" w:rsidP="00350CDD">
      <w:pPr>
        <w:jc w:val="both"/>
        <w:rPr>
          <w:rFonts w:ascii="Times New Roman" w:hAnsi="Times New Roman" w:cs="Times New Roman"/>
          <w:sz w:val="24"/>
          <w:szCs w:val="24"/>
        </w:rPr>
      </w:pPr>
      <w:r w:rsidRPr="00D812FD">
        <w:rPr>
          <w:rFonts w:ascii="Times New Roman" w:hAnsi="Times New Roman" w:cs="Times New Roman"/>
          <w:sz w:val="24"/>
          <w:szCs w:val="24"/>
        </w:rPr>
        <w:t>Subsequent phases of the program in Mali will involve the rehabilitation and paving of various sections of the Bamako–Dakar Northern Corridor, which are currently in an advanced state of deterioration (see sections highlighted in orange on the map below). These works may be implemented in partnership with other technical and financial partners, including the African Development Bank, the Islamic Development Bank, the West African Development Bank, and the Japan International Cooperation Agency</w:t>
      </w:r>
      <w:r w:rsidR="00350CDD" w:rsidRPr="0004205E">
        <w:rPr>
          <w:rFonts w:ascii="Times New Roman" w:hAnsi="Times New Roman" w:cs="Times New Roman"/>
          <w:sz w:val="24"/>
          <w:szCs w:val="24"/>
        </w:rPr>
        <w:t>.</w:t>
      </w:r>
    </w:p>
    <w:p w14:paraId="229C72A9" w14:textId="1FBE9343" w:rsidR="000E0688" w:rsidRDefault="00B76076" w:rsidP="00524A36">
      <w:pPr>
        <w:jc w:val="both"/>
        <w:rPr>
          <w:rFonts w:ascii="Times New Roman" w:hAnsi="Times New Roman" w:cs="Times New Roman"/>
          <w:b/>
          <w:bCs/>
          <w:noProof/>
          <w:lang w:val="en-US"/>
        </w:rPr>
      </w:pPr>
      <w:r w:rsidRPr="00B76076">
        <w:rPr>
          <w:rFonts w:ascii="Times New Roman" w:hAnsi="Times New Roman" w:cs="Times New Roman"/>
          <w:sz w:val="24"/>
          <w:szCs w:val="24"/>
        </w:rPr>
        <w:t>The assessment of the entities responsible for project implementation has, at this stage, identified the country’s public procurement system as a key source of risk. These include potential delays, poor communication, limited competition, and inadequate contract management, all of which may affect the efficiency of project execution.</w:t>
      </w:r>
    </w:p>
    <w:p w14:paraId="1FB08B93" w14:textId="5A5C24FE" w:rsidR="00B76076" w:rsidRPr="00524A36" w:rsidRDefault="00B76076" w:rsidP="00524A36">
      <w:pPr>
        <w:jc w:val="both"/>
        <w:rPr>
          <w:rFonts w:ascii="Times New Roman" w:hAnsi="Times New Roman" w:cs="Times New Roman"/>
          <w:b/>
          <w:bCs/>
        </w:rPr>
      </w:pPr>
      <w:r w:rsidRPr="000E0688">
        <w:rPr>
          <w:rFonts w:ascii="Times New Roman" w:hAnsi="Times New Roman" w:cs="Times New Roman"/>
          <w:b/>
          <w:bCs/>
          <w:noProof/>
          <w:lang w:val="en-US"/>
        </w:rPr>
        <w:lastRenderedPageBreak/>
        <w:drawing>
          <wp:inline distT="0" distB="0" distL="0" distR="0" wp14:anchorId="1C041664" wp14:editId="63DBC64E">
            <wp:extent cx="5013827" cy="3721210"/>
            <wp:effectExtent l="0" t="0" r="0" b="0"/>
            <wp:docPr id="792789660" name="Picture 2" descr="A map of a country with roads and a map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89660" name="Picture 2" descr="A map of a country with roads and a map of the country&#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4459" cy="3751367"/>
                    </a:xfrm>
                    <a:prstGeom prst="rect">
                      <a:avLst/>
                    </a:prstGeom>
                    <a:noFill/>
                    <a:ln>
                      <a:noFill/>
                    </a:ln>
                  </pic:spPr>
                </pic:pic>
              </a:graphicData>
            </a:graphic>
          </wp:inline>
        </w:drawing>
      </w:r>
    </w:p>
    <w:p w14:paraId="788C47BD" w14:textId="77777777" w:rsidR="005E5424" w:rsidRPr="0004205E" w:rsidRDefault="005E5424" w:rsidP="00EE68F5">
      <w:pPr>
        <w:rPr>
          <w:rFonts w:ascii="Times New Roman" w:hAnsi="Times New Roman" w:cs="Times New Roman"/>
          <w:b/>
          <w:bCs/>
          <w:sz w:val="24"/>
          <w:szCs w:val="24"/>
        </w:rPr>
      </w:pPr>
    </w:p>
    <w:p w14:paraId="26293BB5" w14:textId="0439FD37" w:rsidR="00EE68F5" w:rsidRPr="0004205E" w:rsidRDefault="00EE68F5" w:rsidP="00EE68F5">
      <w:pPr>
        <w:rPr>
          <w:rFonts w:ascii="Times New Roman" w:hAnsi="Times New Roman" w:cs="Times New Roman"/>
          <w:b/>
          <w:bCs/>
          <w:sz w:val="24"/>
          <w:szCs w:val="24"/>
        </w:rPr>
      </w:pPr>
      <w:r w:rsidRPr="0004205E">
        <w:rPr>
          <w:rFonts w:ascii="Times New Roman" w:hAnsi="Times New Roman" w:cs="Times New Roman"/>
          <w:b/>
          <w:bCs/>
          <w:sz w:val="24"/>
          <w:szCs w:val="24"/>
        </w:rPr>
        <w:t xml:space="preserve">Market Risks ( </w:t>
      </w:r>
      <w:r w:rsidR="00653640" w:rsidRPr="0004205E">
        <w:rPr>
          <w:rFonts w:ascii="Times New Roman" w:hAnsi="Times New Roman" w:cs="Times New Roman"/>
          <w:i/>
          <w:iCs/>
          <w:sz w:val="24"/>
          <w:szCs w:val="24"/>
        </w:rPr>
        <w:t xml:space="preserve">the risks mentioned are not exhaustive </w:t>
      </w:r>
      <w:r w:rsidR="008A42FB" w:rsidRPr="009212E3">
        <w:rPr>
          <w:rFonts w:ascii="Times New Roman" w:hAnsi="Times New Roman" w:cs="Times New Roman"/>
          <w:b/>
          <w:bCs/>
          <w:sz w:val="24"/>
          <w:szCs w:val="24"/>
        </w:rPr>
        <w:t>)</w:t>
      </w:r>
    </w:p>
    <w:p w14:paraId="495F13EE" w14:textId="4EE46DDA" w:rsidR="00625F30" w:rsidRPr="0004205E" w:rsidRDefault="00EE68F5" w:rsidP="00625F30">
      <w:pPr>
        <w:numPr>
          <w:ilvl w:val="0"/>
          <w:numId w:val="3"/>
        </w:numPr>
        <w:rPr>
          <w:rFonts w:ascii="Times New Roman" w:hAnsi="Times New Roman" w:cs="Times New Roman"/>
          <w:sz w:val="24"/>
          <w:szCs w:val="24"/>
        </w:rPr>
      </w:pPr>
      <w:r w:rsidRPr="0004205E">
        <w:rPr>
          <w:rFonts w:ascii="Times New Roman" w:hAnsi="Times New Roman" w:cs="Times New Roman"/>
          <w:b/>
          <w:bCs/>
          <w:sz w:val="24"/>
          <w:szCs w:val="24"/>
        </w:rPr>
        <w:t>Technical Risk</w:t>
      </w:r>
      <w:r w:rsidRPr="0004205E">
        <w:rPr>
          <w:rFonts w:ascii="Times New Roman" w:hAnsi="Times New Roman" w:cs="Times New Roman"/>
          <w:sz w:val="24"/>
          <w:szCs w:val="24"/>
        </w:rPr>
        <w:t xml:space="preserve">: </w:t>
      </w:r>
      <w:r w:rsidR="006E4F7A" w:rsidRPr="006E4F7A">
        <w:rPr>
          <w:rFonts w:ascii="Times New Roman" w:hAnsi="Times New Roman" w:cs="Times New Roman"/>
          <w:sz w:val="24"/>
          <w:szCs w:val="24"/>
        </w:rPr>
        <w:t xml:space="preserve">The deterioration of the road due to overloading represents a major technical challenge. Although the legally permitted axle load is 13 tons, in practice this limit is frequently exceeded, often reaching double the threshold. The enforcement of </w:t>
      </w:r>
      <w:r w:rsidR="006E4F7A" w:rsidRPr="006E4F7A">
        <w:rPr>
          <w:rFonts w:ascii="Times New Roman" w:hAnsi="Times New Roman" w:cs="Times New Roman"/>
          <w:b/>
          <w:bCs/>
          <w:sz w:val="24"/>
          <w:szCs w:val="24"/>
        </w:rPr>
        <w:t>Regulation 14</w:t>
      </w:r>
      <w:r w:rsidR="006E4F7A" w:rsidRPr="006E4F7A">
        <w:rPr>
          <w:rFonts w:ascii="Times New Roman" w:hAnsi="Times New Roman" w:cs="Times New Roman"/>
          <w:sz w:val="24"/>
          <w:szCs w:val="24"/>
        </w:rPr>
        <w:t>, which has already commenced, serves as a mitigating measure to address this issue</w:t>
      </w:r>
      <w:r w:rsidR="00A41D87" w:rsidRPr="0004205E">
        <w:rPr>
          <w:rFonts w:ascii="Times New Roman" w:hAnsi="Times New Roman" w:cs="Times New Roman"/>
          <w:sz w:val="24"/>
          <w:szCs w:val="24"/>
        </w:rPr>
        <w:t>.</w:t>
      </w:r>
    </w:p>
    <w:p w14:paraId="28F44BBA" w14:textId="4E769273" w:rsidR="00C93863" w:rsidRPr="0004205E" w:rsidRDefault="00625F30" w:rsidP="00524A36">
      <w:pPr>
        <w:numPr>
          <w:ilvl w:val="0"/>
          <w:numId w:val="3"/>
        </w:numPr>
        <w:ind w:left="714" w:hanging="357"/>
        <w:jc w:val="both"/>
        <w:rPr>
          <w:rFonts w:ascii="Times New Roman" w:hAnsi="Times New Roman" w:cs="Times New Roman"/>
          <w:sz w:val="24"/>
          <w:szCs w:val="24"/>
        </w:rPr>
      </w:pPr>
      <w:r w:rsidRPr="0004205E">
        <w:rPr>
          <w:rFonts w:ascii="Times New Roman" w:hAnsi="Times New Roman" w:cs="Times New Roman"/>
          <w:b/>
          <w:bCs/>
          <w:sz w:val="24"/>
          <w:szCs w:val="24"/>
        </w:rPr>
        <w:t xml:space="preserve">Logistics Risk: </w:t>
      </w:r>
      <w:r w:rsidR="006E4F7A">
        <w:rPr>
          <w:rFonts w:ascii="Times New Roman" w:hAnsi="Times New Roman" w:cs="Times New Roman"/>
          <w:sz w:val="24"/>
          <w:szCs w:val="24"/>
        </w:rPr>
        <w:t xml:space="preserve">Massive </w:t>
      </w:r>
      <w:r w:rsidR="00864133" w:rsidRPr="006E4F7A">
        <w:rPr>
          <w:rFonts w:ascii="Times New Roman" w:hAnsi="Times New Roman" w:cs="Times New Roman"/>
          <w:sz w:val="24"/>
          <w:szCs w:val="24"/>
        </w:rPr>
        <w:t xml:space="preserve">rock </w:t>
      </w:r>
      <w:r w:rsidR="006E4F7A">
        <w:rPr>
          <w:rFonts w:ascii="Times New Roman" w:hAnsi="Times New Roman" w:cs="Times New Roman"/>
          <w:sz w:val="24"/>
          <w:szCs w:val="24"/>
        </w:rPr>
        <w:t>q</w:t>
      </w:r>
      <w:r w:rsidR="006E4F7A" w:rsidRPr="006E4F7A">
        <w:rPr>
          <w:rFonts w:ascii="Times New Roman" w:hAnsi="Times New Roman" w:cs="Times New Roman"/>
          <w:sz w:val="24"/>
          <w:szCs w:val="24"/>
        </w:rPr>
        <w:t>uarr</w:t>
      </w:r>
      <w:r w:rsidR="006E4F7A">
        <w:rPr>
          <w:rFonts w:ascii="Times New Roman" w:hAnsi="Times New Roman" w:cs="Times New Roman"/>
          <w:sz w:val="24"/>
          <w:szCs w:val="24"/>
        </w:rPr>
        <w:t>ies</w:t>
      </w:r>
      <w:r w:rsidR="00864133">
        <w:rPr>
          <w:rFonts w:ascii="Times New Roman" w:hAnsi="Times New Roman" w:cs="Times New Roman"/>
          <w:sz w:val="24"/>
          <w:szCs w:val="24"/>
        </w:rPr>
        <w:t xml:space="preserve"> </w:t>
      </w:r>
      <w:r w:rsidR="006E4F7A" w:rsidRPr="006E4F7A">
        <w:rPr>
          <w:rFonts w:ascii="Times New Roman" w:hAnsi="Times New Roman" w:cs="Times New Roman"/>
          <w:sz w:val="24"/>
          <w:szCs w:val="24"/>
        </w:rPr>
        <w:t>and laterite are often far from project sites</w:t>
      </w:r>
      <w:r w:rsidRPr="0004205E">
        <w:rPr>
          <w:rFonts w:ascii="Times New Roman" w:hAnsi="Times New Roman" w:cs="Times New Roman"/>
          <w:sz w:val="24"/>
          <w:szCs w:val="24"/>
        </w:rPr>
        <w:t xml:space="preserve">. </w:t>
      </w:r>
      <w:r w:rsidR="006E4F7A" w:rsidRPr="006E4F7A">
        <w:rPr>
          <w:rFonts w:ascii="Times New Roman" w:hAnsi="Times New Roman" w:cs="Times New Roman"/>
          <w:sz w:val="24"/>
          <w:szCs w:val="24"/>
        </w:rPr>
        <w:t>An appropriate supply plan will be developed and incorporated into the contracts, including transport risk mitigation measures</w:t>
      </w:r>
      <w:r w:rsidRPr="0004205E">
        <w:rPr>
          <w:rFonts w:ascii="Times New Roman" w:hAnsi="Times New Roman" w:cs="Times New Roman"/>
          <w:sz w:val="24"/>
          <w:szCs w:val="24"/>
        </w:rPr>
        <w:t>.</w:t>
      </w:r>
    </w:p>
    <w:p w14:paraId="5FC9ADC4" w14:textId="458F41E5" w:rsidR="00656C9A" w:rsidRPr="0004205E" w:rsidRDefault="00E07B5B" w:rsidP="00C93863">
      <w:pPr>
        <w:numPr>
          <w:ilvl w:val="0"/>
          <w:numId w:val="3"/>
        </w:numPr>
        <w:spacing w:before="100" w:beforeAutospacing="1" w:line="240" w:lineRule="auto"/>
        <w:ind w:left="714" w:hanging="357"/>
        <w:jc w:val="both"/>
        <w:rPr>
          <w:rFonts w:ascii="Times New Roman" w:hAnsi="Times New Roman" w:cs="Times New Roman"/>
          <w:color w:val="000000" w:themeColor="text1"/>
          <w:sz w:val="24"/>
          <w:szCs w:val="24"/>
        </w:rPr>
      </w:pPr>
      <w:r w:rsidRPr="0004205E">
        <w:rPr>
          <w:rFonts w:ascii="Times New Roman" w:hAnsi="Times New Roman" w:cs="Times New Roman"/>
          <w:b/>
          <w:bCs/>
          <w:sz w:val="24"/>
          <w:szCs w:val="24"/>
        </w:rPr>
        <w:t>Security risks:</w:t>
      </w:r>
      <w:r w:rsidRPr="0004205E">
        <w:rPr>
          <w:rFonts w:ascii="Times New Roman" w:hAnsi="Times New Roman" w:cs="Times New Roman"/>
          <w:i/>
          <w:iCs/>
          <w:color w:val="FF0000"/>
          <w:sz w:val="24"/>
          <w:szCs w:val="24"/>
        </w:rPr>
        <w:t xml:space="preserve"> </w:t>
      </w:r>
      <w:r w:rsidR="00864133" w:rsidRPr="00864133">
        <w:rPr>
          <w:rFonts w:ascii="Times New Roman" w:hAnsi="Times New Roman" w:cs="Times New Roman"/>
          <w:color w:val="000000" w:themeColor="text1"/>
          <w:sz w:val="24"/>
          <w:szCs w:val="24"/>
        </w:rPr>
        <w:t>The project intervention area faces significant security threats and exposure to risks for project personnel and labor, project assets, as well as for beneficiaries and surrounding communities. To mitigate these inherent risks, the project will adopt a conflict-sensitive approach in its design. A Security Risk Assessment and a Security Risk Management Plan have been prepared and deemed satisfactory. These documents will be regularly updated until project closure by a security specialist, who will identify the most stable zones to guide the phased deployment of civil engineering</w:t>
      </w:r>
      <w:r w:rsidR="00E7094B" w:rsidRPr="0004205E">
        <w:rPr>
          <w:rFonts w:ascii="Times New Roman" w:hAnsi="Times New Roman" w:cs="Times New Roman"/>
          <w:color w:val="000000" w:themeColor="text1"/>
          <w:sz w:val="24"/>
          <w:szCs w:val="24"/>
        </w:rPr>
        <w:t>.</w:t>
      </w:r>
    </w:p>
    <w:p w14:paraId="38BE8DAE" w14:textId="01F6B1EE" w:rsidR="00443E92" w:rsidRPr="00696AE1" w:rsidRDefault="00EE68F5" w:rsidP="00696AE1">
      <w:pPr>
        <w:pStyle w:val="Paragraphedeliste"/>
        <w:numPr>
          <w:ilvl w:val="0"/>
          <w:numId w:val="3"/>
        </w:numPr>
        <w:spacing w:before="100" w:beforeAutospacing="1" w:line="240" w:lineRule="auto"/>
        <w:jc w:val="both"/>
        <w:rPr>
          <w:rFonts w:ascii="Times New Roman" w:hAnsi="Times New Roman" w:cs="Times New Roman"/>
          <w:color w:val="000000" w:themeColor="text1"/>
          <w:sz w:val="24"/>
          <w:szCs w:val="24"/>
        </w:rPr>
      </w:pPr>
      <w:r w:rsidRPr="0004205E">
        <w:rPr>
          <w:rFonts w:ascii="Times New Roman" w:hAnsi="Times New Roman" w:cs="Times New Roman"/>
          <w:b/>
          <w:bCs/>
          <w:sz w:val="24"/>
          <w:szCs w:val="24"/>
        </w:rPr>
        <w:t>Specific Environmental and Social Risks:</w:t>
      </w:r>
      <w:r w:rsidRPr="0004205E">
        <w:rPr>
          <w:rFonts w:ascii="Times New Roman" w:eastAsia="Times New Roman" w:hAnsi="Times New Roman" w:cs="Times New Roman"/>
          <w:color w:val="424242"/>
          <w:sz w:val="24"/>
          <w:szCs w:val="24"/>
          <w:lang w:eastAsia="fr-FR"/>
          <w14:ligatures w14:val="none"/>
        </w:rPr>
        <w:t xml:space="preserve"> </w:t>
      </w:r>
      <w:bookmarkStart w:id="2" w:name="_Hlk198218190"/>
      <w:r w:rsidR="00D86DE8" w:rsidRPr="00D86DE8">
        <w:rPr>
          <w:rFonts w:ascii="Times New Roman" w:hAnsi="Times New Roman" w:cs="Times New Roman"/>
          <w:color w:val="000000" w:themeColor="text1"/>
          <w:sz w:val="24"/>
          <w:szCs w:val="24"/>
        </w:rPr>
        <w:t xml:space="preserve">The main environmental and social risks and impacts identified in the implementation of civil </w:t>
      </w:r>
      <w:r w:rsidR="008224B8" w:rsidRPr="00864133">
        <w:rPr>
          <w:rFonts w:ascii="Times New Roman" w:hAnsi="Times New Roman" w:cs="Times New Roman"/>
          <w:color w:val="000000" w:themeColor="text1"/>
          <w:sz w:val="24"/>
          <w:szCs w:val="24"/>
        </w:rPr>
        <w:t>engineering</w:t>
      </w:r>
      <w:r w:rsidR="008224B8" w:rsidRPr="00D86DE8">
        <w:rPr>
          <w:rFonts w:ascii="Times New Roman" w:hAnsi="Times New Roman" w:cs="Times New Roman"/>
          <w:color w:val="000000" w:themeColor="text1"/>
          <w:sz w:val="24"/>
          <w:szCs w:val="24"/>
        </w:rPr>
        <w:t xml:space="preserve"> </w:t>
      </w:r>
      <w:r w:rsidR="00D86DE8" w:rsidRPr="00D86DE8">
        <w:rPr>
          <w:rFonts w:ascii="Times New Roman" w:hAnsi="Times New Roman" w:cs="Times New Roman"/>
          <w:color w:val="000000" w:themeColor="text1"/>
          <w:sz w:val="24"/>
          <w:szCs w:val="24"/>
        </w:rPr>
        <w:t xml:space="preserve">along the </w:t>
      </w:r>
      <w:proofErr w:type="spellStart"/>
      <w:r w:rsidR="00D86DE8" w:rsidRPr="00D86DE8">
        <w:rPr>
          <w:rFonts w:ascii="Times New Roman" w:hAnsi="Times New Roman" w:cs="Times New Roman"/>
          <w:color w:val="000000" w:themeColor="text1"/>
          <w:sz w:val="24"/>
          <w:szCs w:val="24"/>
        </w:rPr>
        <w:t>Diéma</w:t>
      </w:r>
      <w:proofErr w:type="spellEnd"/>
      <w:r w:rsidR="00D86DE8" w:rsidRPr="00D86DE8">
        <w:rPr>
          <w:rFonts w:ascii="Times New Roman" w:hAnsi="Times New Roman" w:cs="Times New Roman"/>
          <w:color w:val="000000" w:themeColor="text1"/>
          <w:sz w:val="24"/>
          <w:szCs w:val="24"/>
        </w:rPr>
        <w:t>–</w:t>
      </w:r>
      <w:proofErr w:type="spellStart"/>
      <w:r w:rsidR="00D86DE8" w:rsidRPr="00D86DE8">
        <w:rPr>
          <w:rFonts w:ascii="Times New Roman" w:hAnsi="Times New Roman" w:cs="Times New Roman"/>
          <w:color w:val="000000" w:themeColor="text1"/>
          <w:sz w:val="24"/>
          <w:szCs w:val="24"/>
        </w:rPr>
        <w:t>Sandaré</w:t>
      </w:r>
      <w:proofErr w:type="spellEnd"/>
      <w:r w:rsidR="00D86DE8" w:rsidRPr="00D86DE8">
        <w:rPr>
          <w:rFonts w:ascii="Times New Roman" w:hAnsi="Times New Roman" w:cs="Times New Roman"/>
          <w:color w:val="000000" w:themeColor="text1"/>
          <w:sz w:val="24"/>
          <w:szCs w:val="24"/>
        </w:rPr>
        <w:t xml:space="preserve"> section of the Bamako–Dakar Northern Corridor under the Mali-NSS program include, among others</w:t>
      </w:r>
      <w:r w:rsidR="00696AE1" w:rsidRPr="004C235E">
        <w:rPr>
          <w:rFonts w:ascii="Times New Roman" w:hAnsi="Times New Roman" w:cs="Times New Roman"/>
          <w:color w:val="000000" w:themeColor="text1"/>
          <w:sz w:val="24"/>
          <w:szCs w:val="24"/>
        </w:rPr>
        <w:t xml:space="preserve">: </w:t>
      </w:r>
      <w:r w:rsidR="0017475D" w:rsidRPr="0017475D">
        <w:rPr>
          <w:rFonts w:ascii="Times New Roman" w:hAnsi="Times New Roman" w:cs="Times New Roman"/>
          <w:color w:val="000000" w:themeColor="text1"/>
          <w:sz w:val="24"/>
          <w:szCs w:val="24"/>
        </w:rPr>
        <w:t xml:space="preserve">air quality degradation; water contamination; deforestation; disruption of wildlife habitats and peace; destruction of fauna habitats; spread of occupational diseases and STIs/HIV/AIDS; gender-based violence (GBV), sexual exploitation and abuse (SEA), sexual harassment (SH), and/or violence against children (VAC); accidents involving residents (especially children and animals); obstruction of </w:t>
      </w:r>
      <w:r w:rsidR="0017475D" w:rsidRPr="0017475D">
        <w:rPr>
          <w:rFonts w:ascii="Times New Roman" w:hAnsi="Times New Roman" w:cs="Times New Roman"/>
          <w:color w:val="000000" w:themeColor="text1"/>
          <w:sz w:val="24"/>
          <w:szCs w:val="24"/>
        </w:rPr>
        <w:lastRenderedPageBreak/>
        <w:t>mobility for local populations and transporters; challenges in recruiting local labor; limited community engagement; instability due to the volatile security context in the project area; and involuntary resettlement of project-affected persons</w:t>
      </w:r>
      <w:r w:rsidR="0017475D">
        <w:rPr>
          <w:rFonts w:ascii="Times New Roman" w:hAnsi="Times New Roman" w:cs="Times New Roman"/>
          <w:color w:val="000000" w:themeColor="text1"/>
          <w:sz w:val="24"/>
          <w:szCs w:val="24"/>
        </w:rPr>
        <w:t xml:space="preserve"> </w:t>
      </w:r>
      <w:r w:rsidR="00E2687D" w:rsidRPr="00E2687D">
        <w:rPr>
          <w:rFonts w:ascii="Times New Roman" w:hAnsi="Times New Roman" w:cs="Times New Roman"/>
          <w:color w:val="000000" w:themeColor="text1"/>
          <w:sz w:val="24"/>
          <w:szCs w:val="24"/>
        </w:rPr>
        <w:t>and so on</w:t>
      </w:r>
      <w:r w:rsidR="00696AE1" w:rsidRPr="004C235E">
        <w:rPr>
          <w:rFonts w:ascii="Times New Roman" w:hAnsi="Times New Roman" w:cs="Times New Roman"/>
          <w:color w:val="000000" w:themeColor="text1"/>
          <w:sz w:val="24"/>
          <w:szCs w:val="24"/>
        </w:rPr>
        <w:t xml:space="preserve">. </w:t>
      </w:r>
      <w:r w:rsidR="00E2687D" w:rsidRPr="00E2687D">
        <w:rPr>
          <w:rFonts w:ascii="Times New Roman" w:hAnsi="Times New Roman" w:cs="Times New Roman"/>
          <w:sz w:val="24"/>
          <w:szCs w:val="24"/>
        </w:rPr>
        <w:t>To address these risks and integrate climate resilience aspects, the following environmental and social safeguard instruments have been prepared in accordance with national regulations and World Bank procedures</w:t>
      </w:r>
      <w:r w:rsidR="00696AE1">
        <w:rPr>
          <w:rFonts w:ascii="Times New Roman" w:hAnsi="Times New Roman" w:cs="Times New Roman"/>
          <w:color w:val="000000" w:themeColor="text1"/>
          <w:sz w:val="24"/>
          <w:szCs w:val="24"/>
        </w:rPr>
        <w:t xml:space="preserve">. </w:t>
      </w:r>
      <w:r w:rsidR="00D36185" w:rsidRPr="00D36185">
        <w:rPr>
          <w:rFonts w:ascii="Times New Roman" w:hAnsi="Times New Roman" w:cs="Times New Roman"/>
          <w:color w:val="000000" w:themeColor="text1"/>
          <w:sz w:val="24"/>
          <w:szCs w:val="24"/>
        </w:rPr>
        <w:t>The main instruments developed include the Environmental and Social Impact Assessment (ESIA), including the Environmental and Social Management Plan (ESMP); the Resettlement Action Plan (RAP); the Labor Management Procedures (LMP); the Security Risk Assessment (SRA), including the Security Risk Management Plan (SRMP); the Stakeholder Engagement Plan (SEP); and the GBV/SEA/SH Action Plan. All instruments have been disclosed, except for the Security Risk Assessment (SRA) and the Security Risk Management Plan (SRMP), for which only the executive summary has been published. The GBV/SEA/SH Action Plan, prepared with an annexed Code of Conduct, includes measures to address issues related to Sexual Exploitation and Abuse (SEA), Sexual Harassment (SH), and Gender-Based Violence (GBV). A GBV Specialist will be recruited to update the action plan throughout the duration of the project and will also support the handling of reported SEA/SH/GBV incidents within the project's grievance redress mechanism</w:t>
      </w:r>
      <w:r w:rsidR="00AF625C" w:rsidRPr="00696AE1">
        <w:rPr>
          <w:rFonts w:ascii="Times New Roman" w:hAnsi="Times New Roman" w:cs="Times New Roman"/>
          <w:sz w:val="24"/>
          <w:szCs w:val="24"/>
        </w:rPr>
        <w:t>.</w:t>
      </w:r>
      <w:bookmarkEnd w:id="2"/>
    </w:p>
    <w:p w14:paraId="52F5A28D" w14:textId="27C64860" w:rsidR="00443E92" w:rsidRPr="00A43332" w:rsidRDefault="00776008" w:rsidP="00A43332">
      <w:pPr>
        <w:numPr>
          <w:ilvl w:val="0"/>
          <w:numId w:val="3"/>
        </w:numPr>
        <w:spacing w:before="100" w:beforeAutospacing="1" w:after="100" w:afterAutospacing="1" w:line="240" w:lineRule="auto"/>
        <w:jc w:val="both"/>
        <w:rPr>
          <w:rFonts w:ascii="Times New Roman" w:hAnsi="Times New Roman" w:cs="Times New Roman"/>
          <w:sz w:val="24"/>
          <w:szCs w:val="24"/>
        </w:rPr>
      </w:pPr>
      <w:r w:rsidRPr="00776008">
        <w:rPr>
          <w:rFonts w:ascii="Times New Roman" w:hAnsi="Times New Roman" w:cs="Times New Roman"/>
          <w:b/>
          <w:bCs/>
          <w:sz w:val="24"/>
          <w:szCs w:val="24"/>
        </w:rPr>
        <w:t>Banking Transaction Risks</w:t>
      </w:r>
      <w:r w:rsidR="00EE68F5" w:rsidRPr="0004205E">
        <w:rPr>
          <w:rFonts w:ascii="Times New Roman" w:hAnsi="Times New Roman" w:cs="Times New Roman"/>
          <w:b/>
          <w:bCs/>
          <w:sz w:val="24"/>
          <w:szCs w:val="24"/>
        </w:rPr>
        <w:t xml:space="preserve">: </w:t>
      </w:r>
      <w:r w:rsidR="00442746" w:rsidRPr="00442746">
        <w:rPr>
          <w:rFonts w:ascii="Times New Roman" w:hAnsi="Times New Roman" w:cs="Times New Roman"/>
          <w:sz w:val="24"/>
          <w:szCs w:val="24"/>
        </w:rPr>
        <w:t>Contractors awarded contracts under the project will preferably be paid through direct payments, with the project’s designated account as a secondary option. In both cases, the transactions are subject to foreign exchange rate fluctuations, which may result in financial gains or losses. Another risk is the potential delay in the settlement of transactions, especially international payments, which often involve multiple intermediary (correspondent) banks. These delays are further extended by anti-money laundering compliance checks. Additionally, the overall cost of transactions is increased due to the cumulative fees charged by intermediary banks.</w:t>
      </w:r>
    </w:p>
    <w:p w14:paraId="07710469" w14:textId="299B4851" w:rsidR="00EE68F5" w:rsidRPr="0004205E" w:rsidRDefault="00776008" w:rsidP="00EE68F5">
      <w:pPr>
        <w:rPr>
          <w:rFonts w:ascii="Times New Roman" w:hAnsi="Times New Roman" w:cs="Times New Roman"/>
          <w:b/>
          <w:bCs/>
          <w:sz w:val="24"/>
          <w:szCs w:val="24"/>
        </w:rPr>
      </w:pPr>
      <w:r w:rsidRPr="00776008">
        <w:rPr>
          <w:rFonts w:ascii="Times New Roman" w:hAnsi="Times New Roman" w:cs="Times New Roman"/>
          <w:b/>
          <w:bCs/>
          <w:sz w:val="24"/>
          <w:szCs w:val="24"/>
        </w:rPr>
        <w:t>Participation Modalities</w:t>
      </w:r>
    </w:p>
    <w:p w14:paraId="15C2E1FA" w14:textId="45321096" w:rsidR="00EE68F5" w:rsidRPr="0004205E" w:rsidRDefault="00776008" w:rsidP="00EE68F5">
      <w:pPr>
        <w:rPr>
          <w:rFonts w:ascii="Times New Roman" w:hAnsi="Times New Roman" w:cs="Times New Roman"/>
          <w:sz w:val="24"/>
          <w:szCs w:val="24"/>
        </w:rPr>
      </w:pPr>
      <w:r w:rsidRPr="00776008">
        <w:rPr>
          <w:rFonts w:ascii="Times New Roman" w:hAnsi="Times New Roman" w:cs="Times New Roman"/>
          <w:sz w:val="24"/>
          <w:szCs w:val="24"/>
        </w:rPr>
        <w:t>Interested parties are invited to attend the Early Market Engagement Meeting on Tuesday, June 24, 2025, either in-person or virtually, from 10:00 a.m. to 12:00 p.m. (Mali time) at the World Bank offices in Bamako. Only companies that have expressed interest via email will be invited and sent the agenda.</w:t>
      </w:r>
    </w:p>
    <w:p w14:paraId="2A9930F5" w14:textId="04299ACE" w:rsidR="00E3121B" w:rsidRPr="00696AE1" w:rsidRDefault="007368EB" w:rsidP="00E3121B">
      <w:pPr>
        <w:rPr>
          <w:rFonts w:ascii="Times New Roman" w:hAnsi="Times New Roman" w:cs="Times New Roman"/>
          <w:sz w:val="24"/>
          <w:szCs w:val="24"/>
        </w:rPr>
      </w:pPr>
      <w:r>
        <w:rPr>
          <w:rFonts w:ascii="Times New Roman" w:hAnsi="Times New Roman" w:cs="Times New Roman"/>
          <w:sz w:val="24"/>
          <w:szCs w:val="24"/>
        </w:rPr>
        <w:t>MICROSOFT TEAMS connection link: https://teams.microsoft.com/l/meetup-join/19%3ameeting_OTRiYjFkYmEtYTcyOC00MGM2LThmNDItZjU0MTVlYWIxZWQ1%40thread.v2/0?context=%7b%22Tid%22%3a%2231a2fec0-266b-4c67-b56e-2796d8f59c36%22%2c%22Oid%22%3a%224274172a-99da-4973-af0e-8e419cf5cce4%22%7d</w:t>
      </w:r>
    </w:p>
    <w:p w14:paraId="51F7F634" w14:textId="77777777" w:rsidR="00E3121B" w:rsidRPr="00CA6CBF" w:rsidRDefault="00E3121B" w:rsidP="00E3121B">
      <w:pPr>
        <w:rPr>
          <w:rFonts w:ascii="Times New Roman" w:hAnsi="Times New Roman" w:cs="Times New Roman"/>
          <w:sz w:val="24"/>
          <w:szCs w:val="24"/>
          <w:lang w:val="en-US"/>
        </w:rPr>
      </w:pPr>
      <w:r w:rsidRPr="00CA6CBF">
        <w:rPr>
          <w:rFonts w:ascii="Times New Roman" w:hAnsi="Times New Roman" w:cs="Times New Roman"/>
          <w:sz w:val="24"/>
          <w:szCs w:val="24"/>
          <w:lang w:val="en-US"/>
        </w:rPr>
        <w:t>Meeting ID: 239 014 459 670 8</w:t>
      </w:r>
    </w:p>
    <w:p w14:paraId="30AD0282" w14:textId="77777777" w:rsidR="00E3121B" w:rsidRPr="00CA6CBF" w:rsidRDefault="00E3121B" w:rsidP="00E3121B">
      <w:pPr>
        <w:rPr>
          <w:rFonts w:ascii="Times New Roman" w:hAnsi="Times New Roman" w:cs="Times New Roman"/>
          <w:sz w:val="24"/>
          <w:szCs w:val="24"/>
          <w:lang w:val="en-US"/>
        </w:rPr>
      </w:pPr>
      <w:r w:rsidRPr="00CA6CBF">
        <w:rPr>
          <w:rFonts w:ascii="Times New Roman" w:hAnsi="Times New Roman" w:cs="Times New Roman"/>
          <w:sz w:val="24"/>
          <w:szCs w:val="24"/>
          <w:lang w:val="en-US"/>
        </w:rPr>
        <w:t>Passcode: gY29cY74</w:t>
      </w:r>
    </w:p>
    <w:p w14:paraId="4D9F3906" w14:textId="77777777" w:rsidR="00B76076" w:rsidRPr="00CA6CBF" w:rsidRDefault="00B76076" w:rsidP="00E3121B">
      <w:pPr>
        <w:rPr>
          <w:rFonts w:ascii="Times New Roman" w:hAnsi="Times New Roman" w:cs="Times New Roman"/>
          <w:sz w:val="24"/>
          <w:szCs w:val="24"/>
          <w:lang w:val="en-US"/>
        </w:rPr>
      </w:pPr>
    </w:p>
    <w:p w14:paraId="01C739EC" w14:textId="77777777" w:rsidR="00B76076" w:rsidRPr="00CA6CBF" w:rsidRDefault="00B76076" w:rsidP="00E3121B">
      <w:pPr>
        <w:rPr>
          <w:rFonts w:ascii="Times New Roman" w:hAnsi="Times New Roman" w:cs="Times New Roman"/>
          <w:sz w:val="24"/>
          <w:szCs w:val="24"/>
          <w:lang w:val="en-US"/>
        </w:rPr>
      </w:pPr>
    </w:p>
    <w:p w14:paraId="1D24F33A" w14:textId="77777777" w:rsidR="00B76076" w:rsidRPr="00CA6CBF" w:rsidRDefault="00B76076" w:rsidP="00E3121B">
      <w:pPr>
        <w:rPr>
          <w:rFonts w:ascii="Times New Roman" w:hAnsi="Times New Roman" w:cs="Times New Roman"/>
          <w:sz w:val="24"/>
          <w:szCs w:val="24"/>
          <w:lang w:val="en-US"/>
        </w:rPr>
      </w:pPr>
    </w:p>
    <w:p w14:paraId="19B51728" w14:textId="77777777" w:rsidR="00B76076" w:rsidRPr="00CA6CBF" w:rsidRDefault="00B76076" w:rsidP="00E3121B">
      <w:pPr>
        <w:rPr>
          <w:rFonts w:ascii="Times New Roman" w:hAnsi="Times New Roman" w:cs="Times New Roman"/>
          <w:sz w:val="24"/>
          <w:szCs w:val="24"/>
          <w:lang w:val="en-US"/>
        </w:rPr>
      </w:pPr>
    </w:p>
    <w:p w14:paraId="6DEC70CB" w14:textId="77777777" w:rsidR="00E3121B" w:rsidRPr="00E3121B" w:rsidRDefault="00E3121B" w:rsidP="00E3121B">
      <w:pPr>
        <w:rPr>
          <w:rFonts w:ascii="Times New Roman" w:hAnsi="Times New Roman" w:cs="Times New Roman"/>
          <w:sz w:val="24"/>
          <w:szCs w:val="24"/>
          <w:lang w:val="en-US"/>
        </w:rPr>
      </w:pPr>
      <w:hyperlink r:id="rId10" w:history="1">
        <w:r w:rsidRPr="00E3121B">
          <w:rPr>
            <w:rStyle w:val="Lienhypertexte"/>
            <w:rFonts w:ascii="Times New Roman" w:hAnsi="Times New Roman" w:cs="Times New Roman"/>
            <w:sz w:val="24"/>
            <w:szCs w:val="24"/>
            <w:lang w:val="en-US"/>
          </w:rPr>
          <w:t xml:space="preserve">+1 509-408- </w:t>
        </w:r>
      </w:hyperlink>
      <w:hyperlink r:id="rId11" w:history="1"/>
      <w:hyperlink r:id="rId12" w:history="1">
        <w:r w:rsidRPr="00E3121B">
          <w:rPr>
            <w:rStyle w:val="Lienhypertexte"/>
            <w:rFonts w:ascii="Times New Roman" w:hAnsi="Times New Roman" w:cs="Times New Roman"/>
            <w:sz w:val="24"/>
            <w:szCs w:val="24"/>
            <w:lang w:val="en-US"/>
          </w:rPr>
          <w:t xml:space="preserve">0991,, </w:t>
        </w:r>
      </w:hyperlink>
      <w:hyperlink r:id="rId13" w:history="1"/>
      <w:hyperlink r:id="rId14" w:history="1">
        <w:r w:rsidRPr="00E3121B">
          <w:rPr>
            <w:rStyle w:val="Lienhypertexte"/>
            <w:rFonts w:ascii="Times New Roman" w:hAnsi="Times New Roman" w:cs="Times New Roman"/>
            <w:sz w:val="24"/>
            <w:szCs w:val="24"/>
            <w:lang w:val="en-US"/>
          </w:rPr>
          <w:t xml:space="preserve">659686035# </w:t>
        </w:r>
      </w:hyperlink>
      <w:r w:rsidRPr="00E3121B">
        <w:rPr>
          <w:rFonts w:ascii="Times New Roman" w:hAnsi="Times New Roman" w:cs="Times New Roman"/>
          <w:sz w:val="24"/>
          <w:szCs w:val="24"/>
          <w:lang w:val="en-US"/>
        </w:rPr>
        <w:t>United States, Liberty Lake</w:t>
      </w:r>
    </w:p>
    <w:p w14:paraId="54FCDB56" w14:textId="77777777" w:rsidR="00E3121B" w:rsidRPr="00E3121B" w:rsidRDefault="00E3121B" w:rsidP="00E3121B">
      <w:pPr>
        <w:rPr>
          <w:rFonts w:ascii="Times New Roman" w:hAnsi="Times New Roman" w:cs="Times New Roman"/>
          <w:sz w:val="24"/>
          <w:szCs w:val="24"/>
          <w:lang w:val="en-US"/>
        </w:rPr>
      </w:pPr>
      <w:r w:rsidRPr="00E3121B">
        <w:rPr>
          <w:rFonts w:ascii="Times New Roman" w:hAnsi="Times New Roman" w:cs="Times New Roman"/>
          <w:sz w:val="24"/>
          <w:szCs w:val="24"/>
          <w:lang w:val="en-US"/>
        </w:rPr>
        <w:t>Phone conference ID: 659 686 035#</w:t>
      </w:r>
    </w:p>
    <w:p w14:paraId="03775C32" w14:textId="77777777" w:rsidR="00E3121B" w:rsidRPr="00E3121B" w:rsidRDefault="00E3121B" w:rsidP="00E3121B">
      <w:pPr>
        <w:rPr>
          <w:rFonts w:ascii="Times New Roman" w:hAnsi="Times New Roman" w:cs="Times New Roman"/>
          <w:sz w:val="24"/>
          <w:szCs w:val="24"/>
          <w:lang w:val="en-US"/>
        </w:rPr>
      </w:pPr>
      <w:r w:rsidRPr="00E3121B">
        <w:rPr>
          <w:rFonts w:ascii="Times New Roman" w:hAnsi="Times New Roman" w:cs="Times New Roman"/>
          <w:b/>
          <w:bCs/>
          <w:sz w:val="24"/>
          <w:szCs w:val="24"/>
          <w:lang w:val="en-US"/>
        </w:rPr>
        <w:t>Join on a video conferencing device</w:t>
      </w:r>
      <w:r w:rsidRPr="00E3121B">
        <w:rPr>
          <w:rFonts w:ascii="Times New Roman" w:hAnsi="Times New Roman" w:cs="Times New Roman"/>
          <w:sz w:val="24"/>
          <w:szCs w:val="24"/>
          <w:lang w:val="en-US"/>
        </w:rPr>
        <w:t xml:space="preserve"> </w:t>
      </w:r>
    </w:p>
    <w:p w14:paraId="15189780" w14:textId="77777777" w:rsidR="00E3121B" w:rsidRPr="00E3121B" w:rsidRDefault="00E3121B" w:rsidP="00E3121B">
      <w:pPr>
        <w:rPr>
          <w:rFonts w:ascii="Times New Roman" w:hAnsi="Times New Roman" w:cs="Times New Roman"/>
          <w:sz w:val="24"/>
          <w:szCs w:val="24"/>
          <w:lang w:val="en-US"/>
        </w:rPr>
      </w:pPr>
      <w:r w:rsidRPr="00E3121B">
        <w:rPr>
          <w:rFonts w:ascii="Times New Roman" w:hAnsi="Times New Roman" w:cs="Times New Roman"/>
          <w:sz w:val="24"/>
          <w:szCs w:val="24"/>
          <w:lang w:val="en-US"/>
        </w:rPr>
        <w:t xml:space="preserve">Tenant key: </w:t>
      </w:r>
      <w:hyperlink r:id="rId15" w:history="1">
        <w:r w:rsidRPr="00E3121B">
          <w:rPr>
            <w:rStyle w:val="Lienhypertexte"/>
            <w:rFonts w:ascii="Times New Roman" w:hAnsi="Times New Roman" w:cs="Times New Roman"/>
            <w:sz w:val="24"/>
            <w:szCs w:val="24"/>
            <w:lang w:val="en-US"/>
          </w:rPr>
          <w:t>wbg@m.webex.com</w:t>
        </w:r>
      </w:hyperlink>
      <w:r w:rsidRPr="00E3121B">
        <w:rPr>
          <w:rFonts w:ascii="Times New Roman" w:hAnsi="Times New Roman" w:cs="Times New Roman"/>
          <w:sz w:val="24"/>
          <w:szCs w:val="24"/>
          <w:lang w:val="en-US"/>
        </w:rPr>
        <w:t xml:space="preserve"> </w:t>
      </w:r>
    </w:p>
    <w:p w14:paraId="6B78B8DA" w14:textId="77777777" w:rsidR="00E3121B" w:rsidRPr="00E3121B" w:rsidRDefault="00E3121B" w:rsidP="00E3121B">
      <w:pPr>
        <w:rPr>
          <w:rFonts w:ascii="Times New Roman" w:hAnsi="Times New Roman" w:cs="Times New Roman"/>
          <w:sz w:val="24"/>
          <w:szCs w:val="24"/>
          <w:lang w:val="en-US"/>
        </w:rPr>
      </w:pPr>
      <w:r w:rsidRPr="00E3121B">
        <w:rPr>
          <w:rFonts w:ascii="Times New Roman" w:hAnsi="Times New Roman" w:cs="Times New Roman"/>
          <w:sz w:val="24"/>
          <w:szCs w:val="24"/>
          <w:lang w:val="en-US"/>
        </w:rPr>
        <w:t>Video ID: 119 172 534 1</w:t>
      </w:r>
    </w:p>
    <w:p w14:paraId="11587B9C" w14:textId="77777777" w:rsidR="00E3121B" w:rsidRPr="00E3121B" w:rsidRDefault="00E3121B" w:rsidP="00E3121B">
      <w:pPr>
        <w:rPr>
          <w:rFonts w:ascii="Times New Roman" w:hAnsi="Times New Roman" w:cs="Times New Roman"/>
          <w:sz w:val="24"/>
          <w:szCs w:val="24"/>
          <w:lang w:val="en-US"/>
        </w:rPr>
      </w:pPr>
      <w:hyperlink r:id="rId16" w:tgtFrame="_blank" w:history="1">
        <w:r w:rsidRPr="00E3121B">
          <w:rPr>
            <w:rStyle w:val="Lienhypertexte"/>
            <w:rFonts w:ascii="Times New Roman" w:hAnsi="Times New Roman" w:cs="Times New Roman"/>
            <w:sz w:val="24"/>
            <w:szCs w:val="24"/>
            <w:lang w:val="en-US"/>
          </w:rPr>
          <w:t>More info</w:t>
        </w:r>
      </w:hyperlink>
      <w:r w:rsidRPr="00E3121B">
        <w:rPr>
          <w:rFonts w:ascii="Times New Roman" w:hAnsi="Times New Roman" w:cs="Times New Roman"/>
          <w:sz w:val="24"/>
          <w:szCs w:val="24"/>
          <w:lang w:val="en-US"/>
        </w:rPr>
        <w:t xml:space="preserve"> </w:t>
      </w:r>
    </w:p>
    <w:p w14:paraId="3B6D9B14" w14:textId="79638A62" w:rsidR="00D34A61" w:rsidRPr="00696AE1" w:rsidRDefault="00E3121B" w:rsidP="00EE68F5">
      <w:pPr>
        <w:rPr>
          <w:rFonts w:ascii="Times New Roman" w:hAnsi="Times New Roman" w:cs="Times New Roman"/>
          <w:sz w:val="24"/>
          <w:szCs w:val="24"/>
          <w:lang w:val="en-US"/>
        </w:rPr>
      </w:pPr>
      <w:r w:rsidRPr="00E3121B">
        <w:rPr>
          <w:rFonts w:ascii="Times New Roman" w:hAnsi="Times New Roman" w:cs="Times New Roman"/>
          <w:sz w:val="24"/>
          <w:szCs w:val="24"/>
          <w:lang w:val="en-US"/>
        </w:rPr>
        <w:t xml:space="preserve">For organizers: </w:t>
      </w:r>
      <w:hyperlink r:id="rId17" w:tgtFrame="_blank" w:history="1">
        <w:r w:rsidRPr="00E3121B">
          <w:rPr>
            <w:rStyle w:val="Lienhypertexte"/>
            <w:rFonts w:ascii="Times New Roman" w:hAnsi="Times New Roman" w:cs="Times New Roman"/>
            <w:sz w:val="24"/>
            <w:szCs w:val="24"/>
            <w:lang w:val="en-US"/>
          </w:rPr>
          <w:t xml:space="preserve">Meeting options </w:t>
        </w:r>
      </w:hyperlink>
      <w:r w:rsidRPr="00E3121B">
        <w:rPr>
          <w:rFonts w:ascii="Times New Roman" w:hAnsi="Times New Roman" w:cs="Times New Roman"/>
          <w:sz w:val="24"/>
          <w:szCs w:val="24"/>
          <w:lang w:val="en-US"/>
        </w:rPr>
        <w:t xml:space="preserve">| </w:t>
      </w:r>
      <w:hyperlink r:id="rId18" w:tgtFrame="_blank" w:history="1">
        <w:r w:rsidRPr="00E3121B">
          <w:rPr>
            <w:rStyle w:val="Lienhypertexte"/>
            <w:rFonts w:ascii="Times New Roman" w:hAnsi="Times New Roman" w:cs="Times New Roman"/>
            <w:sz w:val="24"/>
            <w:szCs w:val="24"/>
            <w:lang w:val="en-US"/>
          </w:rPr>
          <w:t>Reset dial-in PIN</w:t>
        </w:r>
      </w:hyperlink>
      <w:r w:rsidRPr="00E3121B">
        <w:rPr>
          <w:rFonts w:ascii="Times New Roman" w:hAnsi="Times New Roman" w:cs="Times New Roman"/>
          <w:sz w:val="24"/>
          <w:szCs w:val="24"/>
          <w:lang w:val="en-US"/>
        </w:rPr>
        <w:t xml:space="preserve"> </w:t>
      </w:r>
    </w:p>
    <w:p w14:paraId="7063DF47" w14:textId="51DC0CF7" w:rsidR="00EE68F5" w:rsidRPr="0004205E" w:rsidRDefault="00EE68F5" w:rsidP="00D34A61">
      <w:pPr>
        <w:jc w:val="both"/>
        <w:rPr>
          <w:rFonts w:ascii="Times New Roman" w:hAnsi="Times New Roman" w:cs="Times New Roman"/>
          <w:b/>
          <w:bCs/>
          <w:sz w:val="24"/>
          <w:szCs w:val="24"/>
        </w:rPr>
      </w:pPr>
      <w:r w:rsidRPr="0004205E">
        <w:rPr>
          <w:rFonts w:ascii="Times New Roman" w:hAnsi="Times New Roman" w:cs="Times New Roman"/>
          <w:b/>
          <w:bCs/>
          <w:sz w:val="24"/>
          <w:szCs w:val="24"/>
        </w:rPr>
        <w:t>Next Steps</w:t>
      </w:r>
    </w:p>
    <w:p w14:paraId="42798E1F" w14:textId="57EF5166" w:rsidR="00EE68F5" w:rsidRPr="0004205E" w:rsidRDefault="00A61434" w:rsidP="00D34A61">
      <w:pPr>
        <w:jc w:val="both"/>
        <w:rPr>
          <w:rFonts w:ascii="Times New Roman" w:hAnsi="Times New Roman" w:cs="Times New Roman"/>
          <w:sz w:val="24"/>
          <w:szCs w:val="24"/>
        </w:rPr>
      </w:pPr>
      <w:r w:rsidRPr="00A61434">
        <w:rPr>
          <w:rFonts w:ascii="Times New Roman" w:hAnsi="Times New Roman" w:cs="Times New Roman"/>
          <w:sz w:val="24"/>
          <w:szCs w:val="24"/>
        </w:rPr>
        <w:t>The information gathered will enable the Ministry of Transport and Infrastructure to fine-tune the project’s modalities implementation strategy and procurement approach. Any formal procurement process will be communicated through official channels</w:t>
      </w:r>
      <w:r w:rsidR="00EE68F5" w:rsidRPr="0004205E">
        <w:rPr>
          <w:rFonts w:ascii="Times New Roman" w:hAnsi="Times New Roman" w:cs="Times New Roman"/>
          <w:sz w:val="24"/>
          <w:szCs w:val="24"/>
        </w:rPr>
        <w:t>.</w:t>
      </w:r>
    </w:p>
    <w:p w14:paraId="4C4E0152" w14:textId="77777777" w:rsidR="00EE68F5" w:rsidRPr="0004205E" w:rsidRDefault="00EE68F5" w:rsidP="00D34A61">
      <w:pPr>
        <w:jc w:val="both"/>
        <w:rPr>
          <w:rFonts w:ascii="Times New Roman" w:hAnsi="Times New Roman" w:cs="Times New Roman"/>
          <w:b/>
          <w:bCs/>
          <w:sz w:val="24"/>
          <w:szCs w:val="24"/>
        </w:rPr>
      </w:pPr>
      <w:r w:rsidRPr="0004205E">
        <w:rPr>
          <w:rFonts w:ascii="Times New Roman" w:hAnsi="Times New Roman" w:cs="Times New Roman"/>
          <w:b/>
          <w:bCs/>
          <w:sz w:val="24"/>
          <w:szCs w:val="24"/>
        </w:rPr>
        <w:t>Contact</w:t>
      </w:r>
    </w:p>
    <w:p w14:paraId="6E18EA16" w14:textId="77777777" w:rsidR="00D34A61" w:rsidRPr="0004205E" w:rsidRDefault="00EE68F5" w:rsidP="00D34A61">
      <w:pPr>
        <w:jc w:val="both"/>
        <w:rPr>
          <w:rFonts w:ascii="Times New Roman" w:hAnsi="Times New Roman" w:cs="Times New Roman"/>
          <w:sz w:val="24"/>
          <w:szCs w:val="24"/>
        </w:rPr>
      </w:pPr>
      <w:r w:rsidRPr="0004205E">
        <w:rPr>
          <w:rFonts w:ascii="Times New Roman" w:hAnsi="Times New Roman" w:cs="Times New Roman"/>
          <w:sz w:val="24"/>
          <w:szCs w:val="24"/>
        </w:rPr>
        <w:t>For any further information or to express your interest, please contact:</w:t>
      </w:r>
    </w:p>
    <w:p w14:paraId="607350C7" w14:textId="2C7645CC" w:rsidR="007766C2" w:rsidRPr="0004205E" w:rsidRDefault="00565713" w:rsidP="00D34A61">
      <w:pPr>
        <w:jc w:val="both"/>
        <w:rPr>
          <w:rFonts w:ascii="Times New Roman" w:hAnsi="Times New Roman" w:cs="Times New Roman"/>
          <w:sz w:val="24"/>
          <w:szCs w:val="24"/>
        </w:rPr>
      </w:pPr>
      <w:r>
        <w:rPr>
          <w:rFonts w:ascii="Times New Roman" w:hAnsi="Times New Roman" w:cs="Times New Roman"/>
          <w:sz w:val="24"/>
          <w:szCs w:val="24"/>
        </w:rPr>
        <w:t xml:space="preserve">The Acting Coordinator of the National Coordination Unit Mr Daouda M. KONE of Mali-NSS, UNC, located at Medina- </w:t>
      </w:r>
      <w:r w:rsidR="00EE68F5" w:rsidRPr="0004205E">
        <w:rPr>
          <w:rFonts w:ascii="Times New Roman" w:hAnsi="Times New Roman" w:cs="Times New Roman"/>
          <w:sz w:val="24"/>
          <w:szCs w:val="24"/>
        </w:rPr>
        <w:t xml:space="preserve">Coura </w:t>
      </w:r>
      <w:r w:rsidR="00A61434" w:rsidRPr="0004205E">
        <w:rPr>
          <w:rFonts w:ascii="Times New Roman" w:hAnsi="Times New Roman" w:cs="Times New Roman"/>
          <w:sz w:val="24"/>
          <w:szCs w:val="24"/>
        </w:rPr>
        <w:t xml:space="preserve">Rue </w:t>
      </w:r>
      <w:r w:rsidR="00EE68F5" w:rsidRPr="0004205E">
        <w:rPr>
          <w:rFonts w:ascii="Times New Roman" w:hAnsi="Times New Roman" w:cs="Times New Roman"/>
          <w:sz w:val="24"/>
          <w:szCs w:val="24"/>
        </w:rPr>
        <w:t xml:space="preserve">47, </w:t>
      </w:r>
      <w:r w:rsidR="00A61434" w:rsidRPr="0004205E">
        <w:rPr>
          <w:rFonts w:ascii="Times New Roman" w:hAnsi="Times New Roman" w:cs="Times New Roman"/>
          <w:sz w:val="24"/>
          <w:szCs w:val="24"/>
        </w:rPr>
        <w:t xml:space="preserve">Porte </w:t>
      </w:r>
      <w:r w:rsidR="00EE68F5" w:rsidRPr="0004205E">
        <w:rPr>
          <w:rFonts w:ascii="Times New Roman" w:hAnsi="Times New Roman" w:cs="Times New Roman"/>
          <w:sz w:val="24"/>
          <w:szCs w:val="24"/>
        </w:rPr>
        <w:t xml:space="preserve">212, </w:t>
      </w:r>
      <w:r w:rsidR="00A61434">
        <w:rPr>
          <w:rFonts w:ascii="Times New Roman" w:hAnsi="Times New Roman" w:cs="Times New Roman"/>
          <w:sz w:val="24"/>
          <w:szCs w:val="24"/>
        </w:rPr>
        <w:t>Phone</w:t>
      </w:r>
      <w:r w:rsidR="00EE68F5" w:rsidRPr="0004205E">
        <w:rPr>
          <w:rFonts w:ascii="Times New Roman" w:hAnsi="Times New Roman" w:cs="Times New Roman"/>
          <w:sz w:val="24"/>
          <w:szCs w:val="24"/>
        </w:rPr>
        <w:t xml:space="preserve">.: 20.21.57.25 &amp; 20.21.40.33, Fax: 20.21.92.30; E-mail: </w:t>
      </w:r>
      <w:hyperlink r:id="rId19" w:tgtFrame="_blank" w:history="1">
        <w:r w:rsidR="00EE68F5" w:rsidRPr="0004205E">
          <w:rPr>
            <w:rStyle w:val="Lienhypertexte"/>
            <w:rFonts w:ascii="Times New Roman" w:hAnsi="Times New Roman" w:cs="Times New Roman"/>
            <w:sz w:val="24"/>
            <w:szCs w:val="24"/>
          </w:rPr>
          <w:t xml:space="preserve">uncpaar5@gmail.com </w:t>
        </w:r>
      </w:hyperlink>
      <w:r w:rsidR="00EE68F5" w:rsidRPr="0004205E">
        <w:rPr>
          <w:rFonts w:ascii="Times New Roman" w:hAnsi="Times New Roman" w:cs="Times New Roman"/>
          <w:sz w:val="24"/>
          <w:szCs w:val="24"/>
        </w:rPr>
        <w:t>Bamako, Republic of Mali.</w:t>
      </w:r>
    </w:p>
    <w:p w14:paraId="09EB3F95" w14:textId="77777777" w:rsidR="00EE68F5" w:rsidRPr="0004205E" w:rsidRDefault="00EE68F5" w:rsidP="00D34A61">
      <w:pPr>
        <w:jc w:val="both"/>
        <w:rPr>
          <w:rFonts w:ascii="Times New Roman" w:hAnsi="Times New Roman" w:cs="Times New Roman"/>
          <w:b/>
          <w:bCs/>
          <w:sz w:val="24"/>
          <w:szCs w:val="24"/>
        </w:rPr>
      </w:pPr>
      <w:r w:rsidRPr="0004205E">
        <w:rPr>
          <w:rFonts w:ascii="Times New Roman" w:hAnsi="Times New Roman" w:cs="Times New Roman"/>
          <w:b/>
          <w:bCs/>
          <w:sz w:val="24"/>
          <w:szCs w:val="24"/>
        </w:rPr>
        <w:t>Disclaimer</w:t>
      </w:r>
    </w:p>
    <w:p w14:paraId="20F2E583" w14:textId="561EF972" w:rsidR="00EE68F5" w:rsidRDefault="00EE68F5" w:rsidP="00D34A61">
      <w:pPr>
        <w:jc w:val="both"/>
        <w:rPr>
          <w:rFonts w:ascii="Times New Roman" w:hAnsi="Times New Roman" w:cs="Times New Roman"/>
          <w:sz w:val="24"/>
          <w:szCs w:val="24"/>
        </w:rPr>
      </w:pPr>
      <w:r w:rsidRPr="0004205E">
        <w:rPr>
          <w:rFonts w:ascii="Times New Roman" w:hAnsi="Times New Roman" w:cs="Times New Roman"/>
          <w:sz w:val="24"/>
          <w:szCs w:val="24"/>
        </w:rPr>
        <w:t xml:space="preserve">Participation in this early market engagement does not confer any advantage in </w:t>
      </w:r>
      <w:r w:rsidR="00A61434" w:rsidRPr="00A61434">
        <w:rPr>
          <w:rFonts w:ascii="Times New Roman" w:hAnsi="Times New Roman" w:cs="Times New Roman"/>
          <w:sz w:val="24"/>
          <w:szCs w:val="24"/>
        </w:rPr>
        <w:t xml:space="preserve">future </w:t>
      </w:r>
      <w:r w:rsidRPr="0004205E">
        <w:rPr>
          <w:rFonts w:ascii="Times New Roman" w:hAnsi="Times New Roman" w:cs="Times New Roman"/>
          <w:sz w:val="24"/>
          <w:szCs w:val="24"/>
        </w:rPr>
        <w:t>procurement process. This is not a call for tenders or a prequalification exercise. All information received will be treated confidentially and used solely for market analysis and procurement planning.</w:t>
      </w:r>
    </w:p>
    <w:p w14:paraId="186409FE" w14:textId="77777777" w:rsidR="0047044B" w:rsidRDefault="0047044B" w:rsidP="00D34A61">
      <w:pPr>
        <w:jc w:val="both"/>
        <w:rPr>
          <w:rFonts w:ascii="Times New Roman" w:hAnsi="Times New Roman" w:cs="Times New Roman"/>
          <w:sz w:val="24"/>
          <w:szCs w:val="24"/>
        </w:rPr>
      </w:pPr>
    </w:p>
    <w:p w14:paraId="045D3830" w14:textId="07413606" w:rsidR="0047044B" w:rsidRPr="0047044B" w:rsidRDefault="0047044B" w:rsidP="0047044B">
      <w:pPr>
        <w:spacing w:after="0"/>
        <w:ind w:left="1416"/>
        <w:jc w:val="center"/>
        <w:rPr>
          <w:rFonts w:ascii="Times New Roman" w:hAnsi="Times New Roman" w:cs="Times New Roman"/>
          <w:b/>
          <w:bCs/>
          <w:sz w:val="24"/>
          <w:szCs w:val="24"/>
        </w:rPr>
      </w:pPr>
      <w:r w:rsidRPr="0047044B">
        <w:rPr>
          <w:rFonts w:ascii="Times New Roman" w:hAnsi="Times New Roman" w:cs="Times New Roman"/>
          <w:b/>
          <w:bCs/>
          <w:sz w:val="24"/>
          <w:szCs w:val="24"/>
        </w:rPr>
        <w:t>The Acting Coordinator of the National Coordination Unit</w:t>
      </w:r>
    </w:p>
    <w:p w14:paraId="348E730F" w14:textId="55E7419D" w:rsidR="0047044B" w:rsidRPr="0047044B" w:rsidRDefault="0047044B" w:rsidP="0047044B">
      <w:pPr>
        <w:spacing w:after="0"/>
        <w:ind w:left="4248"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47044B">
        <w:rPr>
          <w:rFonts w:ascii="Times New Roman" w:hAnsi="Times New Roman" w:cs="Times New Roman"/>
          <w:b/>
          <w:bCs/>
          <w:sz w:val="24"/>
          <w:szCs w:val="24"/>
        </w:rPr>
        <w:t>Deputy Coordinator</w:t>
      </w:r>
    </w:p>
    <w:p w14:paraId="40F85A2D" w14:textId="77777777" w:rsidR="0047044B" w:rsidRPr="0047044B" w:rsidRDefault="0047044B" w:rsidP="0047044B">
      <w:pPr>
        <w:jc w:val="right"/>
        <w:rPr>
          <w:rFonts w:ascii="Times New Roman" w:hAnsi="Times New Roman" w:cs="Times New Roman"/>
          <w:b/>
          <w:bCs/>
          <w:sz w:val="24"/>
          <w:szCs w:val="24"/>
        </w:rPr>
      </w:pPr>
    </w:p>
    <w:p w14:paraId="23552776" w14:textId="77777777" w:rsidR="0047044B" w:rsidRPr="0047044B" w:rsidRDefault="0047044B" w:rsidP="0047044B">
      <w:pPr>
        <w:jc w:val="right"/>
        <w:rPr>
          <w:rFonts w:ascii="Times New Roman" w:hAnsi="Times New Roman" w:cs="Times New Roman"/>
          <w:b/>
          <w:bCs/>
          <w:sz w:val="24"/>
          <w:szCs w:val="24"/>
        </w:rPr>
      </w:pPr>
    </w:p>
    <w:p w14:paraId="5D7DA1BF" w14:textId="368B33C1" w:rsidR="0047044B" w:rsidRPr="0047044B" w:rsidRDefault="0047044B" w:rsidP="0047044B">
      <w:pPr>
        <w:spacing w:after="0"/>
        <w:ind w:left="4956"/>
        <w:jc w:val="center"/>
        <w:rPr>
          <w:rFonts w:ascii="Times New Roman" w:hAnsi="Times New Roman" w:cs="Times New Roman"/>
          <w:b/>
          <w:bCs/>
          <w:sz w:val="24"/>
          <w:szCs w:val="24"/>
          <w:u w:val="single"/>
        </w:rPr>
      </w:pPr>
      <w:r w:rsidRPr="0047044B">
        <w:rPr>
          <w:rFonts w:ascii="Times New Roman" w:hAnsi="Times New Roman" w:cs="Times New Roman"/>
          <w:b/>
          <w:bCs/>
          <w:sz w:val="24"/>
          <w:szCs w:val="24"/>
        </w:rPr>
        <w:t xml:space="preserve">   </w:t>
      </w:r>
      <w:r w:rsidRPr="0047044B">
        <w:rPr>
          <w:rFonts w:ascii="Times New Roman" w:hAnsi="Times New Roman" w:cs="Times New Roman"/>
          <w:b/>
          <w:bCs/>
          <w:sz w:val="24"/>
          <w:szCs w:val="24"/>
          <w:u w:val="single"/>
        </w:rPr>
        <w:t>Daouda Moussa KONE</w:t>
      </w:r>
      <w:r w:rsidRPr="0047044B">
        <w:rPr>
          <w:rFonts w:ascii="Times New Roman" w:hAnsi="Times New Roman" w:cs="Times New Roman"/>
          <w:b/>
          <w:bCs/>
          <w:sz w:val="24"/>
          <w:szCs w:val="24"/>
        </w:rPr>
        <w:tab/>
      </w:r>
    </w:p>
    <w:p w14:paraId="21DE8825" w14:textId="5447C48F" w:rsidR="0047044B" w:rsidRPr="0047044B" w:rsidRDefault="0047044B" w:rsidP="0047044B">
      <w:pPr>
        <w:spacing w:after="0"/>
        <w:ind w:left="4956"/>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47044B">
        <w:rPr>
          <w:rFonts w:ascii="Times New Roman" w:hAnsi="Times New Roman" w:cs="Times New Roman"/>
          <w:b/>
          <w:bCs/>
          <w:i/>
          <w:iCs/>
          <w:sz w:val="24"/>
          <w:szCs w:val="24"/>
        </w:rPr>
        <w:t>Knight of the National Order</w:t>
      </w:r>
    </w:p>
    <w:p w14:paraId="56FA68B3" w14:textId="77777777" w:rsidR="0047044B" w:rsidRDefault="0047044B" w:rsidP="0047044B">
      <w:pPr>
        <w:jc w:val="right"/>
        <w:rPr>
          <w:rFonts w:ascii="Times New Roman" w:hAnsi="Times New Roman" w:cs="Times New Roman"/>
          <w:sz w:val="24"/>
          <w:szCs w:val="24"/>
        </w:rPr>
      </w:pPr>
    </w:p>
    <w:p w14:paraId="710308BF" w14:textId="77777777" w:rsidR="0047044B" w:rsidRPr="0004205E" w:rsidRDefault="0047044B" w:rsidP="0047044B">
      <w:pPr>
        <w:jc w:val="right"/>
        <w:rPr>
          <w:rFonts w:ascii="Times New Roman" w:hAnsi="Times New Roman" w:cs="Times New Roman"/>
          <w:sz w:val="24"/>
          <w:szCs w:val="24"/>
        </w:rPr>
      </w:pPr>
    </w:p>
    <w:p w14:paraId="04E5E822" w14:textId="604C8F31" w:rsidR="007766C2" w:rsidRPr="0004205E" w:rsidRDefault="007766C2" w:rsidP="007766C2">
      <w:pPr>
        <w:jc w:val="both"/>
        <w:rPr>
          <w:rFonts w:ascii="Times New Roman" w:hAnsi="Times New Roman" w:cs="Times New Roman"/>
          <w:b/>
          <w:bCs/>
          <w:sz w:val="24"/>
          <w:szCs w:val="24"/>
        </w:rPr>
      </w:pPr>
      <w:r w:rsidRPr="0004205E">
        <w:rPr>
          <w:rFonts w:ascii="Times New Roman" w:hAnsi="Times New Roman" w:cs="Times New Roman"/>
          <w:b/>
          <w:bCs/>
          <w:sz w:val="24"/>
          <w:szCs w:val="24"/>
        </w:rPr>
        <w:t xml:space="preserve">               </w:t>
      </w:r>
      <w:r w:rsidR="005A4687" w:rsidRPr="0004205E">
        <w:rPr>
          <w:rFonts w:ascii="Times New Roman" w:hAnsi="Times New Roman" w:cs="Times New Roman"/>
          <w:b/>
          <w:bCs/>
          <w:sz w:val="24"/>
          <w:szCs w:val="24"/>
        </w:rPr>
        <w:tab/>
      </w:r>
      <w:r w:rsidR="005A4687" w:rsidRPr="0004205E">
        <w:rPr>
          <w:rFonts w:ascii="Times New Roman" w:hAnsi="Times New Roman" w:cs="Times New Roman"/>
          <w:b/>
          <w:bCs/>
          <w:sz w:val="24"/>
          <w:szCs w:val="24"/>
        </w:rPr>
        <w:tab/>
      </w:r>
      <w:r w:rsidR="005A4687" w:rsidRPr="0004205E">
        <w:rPr>
          <w:rFonts w:ascii="Times New Roman" w:hAnsi="Times New Roman" w:cs="Times New Roman"/>
          <w:b/>
          <w:bCs/>
          <w:sz w:val="24"/>
          <w:szCs w:val="24"/>
        </w:rPr>
        <w:tab/>
      </w:r>
    </w:p>
    <w:p w14:paraId="0307091E" w14:textId="77777777" w:rsidR="007766C2" w:rsidRPr="0004205E" w:rsidRDefault="007766C2" w:rsidP="007766C2">
      <w:pPr>
        <w:jc w:val="both"/>
        <w:rPr>
          <w:rFonts w:ascii="Times New Roman" w:hAnsi="Times New Roman" w:cs="Times New Roman"/>
          <w:b/>
          <w:bCs/>
          <w:sz w:val="24"/>
          <w:szCs w:val="24"/>
        </w:rPr>
      </w:pPr>
    </w:p>
    <w:p w14:paraId="1BDBF4F4" w14:textId="4EE869AA" w:rsidR="00C93863" w:rsidRPr="0004205E" w:rsidRDefault="007766C2" w:rsidP="00524A36">
      <w:pPr>
        <w:jc w:val="both"/>
        <w:rPr>
          <w:rFonts w:ascii="Times New Roman" w:hAnsi="Times New Roman" w:cs="Times New Roman"/>
          <w:b/>
          <w:bCs/>
          <w:sz w:val="24"/>
          <w:szCs w:val="24"/>
        </w:rPr>
      </w:pPr>
      <w:r w:rsidRPr="00696AE1">
        <w:rPr>
          <w:rFonts w:ascii="Times New Roman" w:hAnsi="Times New Roman" w:cs="Times New Roman"/>
          <w:sz w:val="24"/>
          <w:szCs w:val="24"/>
        </w:rPr>
        <w:t>                                                                  </w:t>
      </w:r>
      <w:r w:rsidRPr="00696AE1">
        <w:rPr>
          <w:rFonts w:ascii="Times New Roman" w:hAnsi="Times New Roman" w:cs="Times New Roman"/>
          <w:sz w:val="24"/>
          <w:szCs w:val="24"/>
        </w:rPr>
        <w:tab/>
      </w:r>
      <w:r w:rsidRPr="00696AE1">
        <w:rPr>
          <w:rFonts w:ascii="Times New Roman" w:hAnsi="Times New Roman" w:cs="Times New Roman"/>
          <w:sz w:val="24"/>
          <w:szCs w:val="24"/>
        </w:rPr>
        <w:tab/>
        <w:t xml:space="preserve">                        </w:t>
      </w:r>
    </w:p>
    <w:p w14:paraId="722BD716" w14:textId="77777777" w:rsidR="00C93863" w:rsidRPr="007F01C5" w:rsidRDefault="00C93863" w:rsidP="00EE68F5">
      <w:pPr>
        <w:jc w:val="right"/>
        <w:rPr>
          <w:rFonts w:ascii="Times New Roman" w:hAnsi="Times New Roman" w:cs="Times New Roman"/>
          <w:b/>
          <w:bCs/>
          <w:sz w:val="32"/>
          <w:szCs w:val="32"/>
        </w:rPr>
      </w:pPr>
    </w:p>
    <w:sectPr w:rsidR="00C93863" w:rsidRPr="007F01C5" w:rsidSect="00480E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4E4C" w14:textId="77777777" w:rsidR="00217C4A" w:rsidRDefault="00217C4A" w:rsidP="00A614AC">
      <w:pPr>
        <w:spacing w:after="0" w:line="240" w:lineRule="auto"/>
      </w:pPr>
      <w:r>
        <w:separator/>
      </w:r>
    </w:p>
  </w:endnote>
  <w:endnote w:type="continuationSeparator" w:id="0">
    <w:p w14:paraId="2FA0A11C" w14:textId="77777777" w:rsidR="00217C4A" w:rsidRDefault="00217C4A" w:rsidP="00A6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29A4" w14:textId="77777777" w:rsidR="00217C4A" w:rsidRDefault="00217C4A" w:rsidP="00A614AC">
      <w:pPr>
        <w:spacing w:after="0" w:line="240" w:lineRule="auto"/>
      </w:pPr>
      <w:r>
        <w:separator/>
      </w:r>
    </w:p>
  </w:footnote>
  <w:footnote w:type="continuationSeparator" w:id="0">
    <w:p w14:paraId="079D02FF" w14:textId="77777777" w:rsidR="00217C4A" w:rsidRDefault="00217C4A" w:rsidP="00A614AC">
      <w:pPr>
        <w:spacing w:after="0" w:line="240" w:lineRule="auto"/>
      </w:pPr>
      <w:r>
        <w:continuationSeparator/>
      </w:r>
    </w:p>
  </w:footnote>
  <w:footnote w:id="1">
    <w:p w14:paraId="6016F45D" w14:textId="0DFE5BB7" w:rsidR="00A614AC" w:rsidRDefault="00A614AC">
      <w:pPr>
        <w:pStyle w:val="Notedebasdepage"/>
      </w:pPr>
      <w:r>
        <w:rPr>
          <w:rStyle w:val="Appelnotedebasdep"/>
        </w:rPr>
        <w:footnoteRef/>
      </w:r>
      <w:r>
        <w:t xml:space="preserve">For more information on the project, please visit </w:t>
      </w:r>
      <w:hyperlink r:id="rId1" w:history="1">
        <w:r w:rsidR="00653640" w:rsidRPr="00FC7E7A">
          <w:rPr>
            <w:rStyle w:val="Lienhypertexte"/>
          </w:rPr>
          <w:t>www.ucnmali.com</w:t>
        </w:r>
      </w:hyperlink>
      <w:r w:rsidR="0065364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28"/>
    <w:multiLevelType w:val="hybridMultilevel"/>
    <w:tmpl w:val="245E82FC"/>
    <w:lvl w:ilvl="0" w:tplc="63D20598">
      <w:start w:val="1"/>
      <w:numFmt w:val="bullet"/>
      <w:lvlText w:val=""/>
      <w:lvlJc w:val="left"/>
      <w:pPr>
        <w:ind w:left="720" w:hanging="360"/>
      </w:pPr>
      <w:rPr>
        <w:rFonts w:ascii="Symbol" w:hAnsi="Symbol"/>
      </w:rPr>
    </w:lvl>
    <w:lvl w:ilvl="1" w:tplc="D4F45562">
      <w:start w:val="1"/>
      <w:numFmt w:val="bullet"/>
      <w:lvlText w:val=""/>
      <w:lvlJc w:val="left"/>
      <w:pPr>
        <w:ind w:left="720" w:hanging="360"/>
      </w:pPr>
      <w:rPr>
        <w:rFonts w:ascii="Symbol" w:hAnsi="Symbol"/>
      </w:rPr>
    </w:lvl>
    <w:lvl w:ilvl="2" w:tplc="135870CC">
      <w:start w:val="1"/>
      <w:numFmt w:val="bullet"/>
      <w:lvlText w:val=""/>
      <w:lvlJc w:val="left"/>
      <w:pPr>
        <w:ind w:left="720" w:hanging="360"/>
      </w:pPr>
      <w:rPr>
        <w:rFonts w:ascii="Symbol" w:hAnsi="Symbol"/>
      </w:rPr>
    </w:lvl>
    <w:lvl w:ilvl="3" w:tplc="C860C3FE">
      <w:start w:val="1"/>
      <w:numFmt w:val="bullet"/>
      <w:lvlText w:val=""/>
      <w:lvlJc w:val="left"/>
      <w:pPr>
        <w:ind w:left="720" w:hanging="360"/>
      </w:pPr>
      <w:rPr>
        <w:rFonts w:ascii="Symbol" w:hAnsi="Symbol"/>
      </w:rPr>
    </w:lvl>
    <w:lvl w:ilvl="4" w:tplc="7B8C3A52">
      <w:start w:val="1"/>
      <w:numFmt w:val="bullet"/>
      <w:lvlText w:val=""/>
      <w:lvlJc w:val="left"/>
      <w:pPr>
        <w:ind w:left="720" w:hanging="360"/>
      </w:pPr>
      <w:rPr>
        <w:rFonts w:ascii="Symbol" w:hAnsi="Symbol"/>
      </w:rPr>
    </w:lvl>
    <w:lvl w:ilvl="5" w:tplc="EC9CA606">
      <w:start w:val="1"/>
      <w:numFmt w:val="bullet"/>
      <w:lvlText w:val=""/>
      <w:lvlJc w:val="left"/>
      <w:pPr>
        <w:ind w:left="720" w:hanging="360"/>
      </w:pPr>
      <w:rPr>
        <w:rFonts w:ascii="Symbol" w:hAnsi="Symbol"/>
      </w:rPr>
    </w:lvl>
    <w:lvl w:ilvl="6" w:tplc="B5A6179C">
      <w:start w:val="1"/>
      <w:numFmt w:val="bullet"/>
      <w:lvlText w:val=""/>
      <w:lvlJc w:val="left"/>
      <w:pPr>
        <w:ind w:left="720" w:hanging="360"/>
      </w:pPr>
      <w:rPr>
        <w:rFonts w:ascii="Symbol" w:hAnsi="Symbol"/>
      </w:rPr>
    </w:lvl>
    <w:lvl w:ilvl="7" w:tplc="1780CBD8">
      <w:start w:val="1"/>
      <w:numFmt w:val="bullet"/>
      <w:lvlText w:val=""/>
      <w:lvlJc w:val="left"/>
      <w:pPr>
        <w:ind w:left="720" w:hanging="360"/>
      </w:pPr>
      <w:rPr>
        <w:rFonts w:ascii="Symbol" w:hAnsi="Symbol"/>
      </w:rPr>
    </w:lvl>
    <w:lvl w:ilvl="8" w:tplc="B3ECF5CA">
      <w:start w:val="1"/>
      <w:numFmt w:val="bullet"/>
      <w:lvlText w:val=""/>
      <w:lvlJc w:val="left"/>
      <w:pPr>
        <w:ind w:left="720" w:hanging="360"/>
      </w:pPr>
      <w:rPr>
        <w:rFonts w:ascii="Symbol" w:hAnsi="Symbol"/>
      </w:rPr>
    </w:lvl>
  </w:abstractNum>
  <w:abstractNum w:abstractNumId="1" w15:restartNumberingAfterBreak="0">
    <w:nsid w:val="2D363589"/>
    <w:multiLevelType w:val="multilevel"/>
    <w:tmpl w:val="FC12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032A24"/>
    <w:multiLevelType w:val="multilevel"/>
    <w:tmpl w:val="B86A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758E0"/>
    <w:multiLevelType w:val="multilevel"/>
    <w:tmpl w:val="B7F0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C01C62"/>
    <w:multiLevelType w:val="multilevel"/>
    <w:tmpl w:val="1828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B70DC"/>
    <w:multiLevelType w:val="hybridMultilevel"/>
    <w:tmpl w:val="D8B42E5E"/>
    <w:lvl w:ilvl="0" w:tplc="3AB6A226">
      <w:start w:val="1"/>
      <w:numFmt w:val="bullet"/>
      <w:lvlText w:val=""/>
      <w:lvlJc w:val="left"/>
      <w:pPr>
        <w:ind w:left="1080" w:hanging="360"/>
      </w:pPr>
      <w:rPr>
        <w:rFonts w:ascii="Symbol" w:hAnsi="Symbol"/>
      </w:rPr>
    </w:lvl>
    <w:lvl w:ilvl="1" w:tplc="2D06B3BC">
      <w:start w:val="1"/>
      <w:numFmt w:val="bullet"/>
      <w:lvlText w:val=""/>
      <w:lvlJc w:val="left"/>
      <w:pPr>
        <w:ind w:left="1080" w:hanging="360"/>
      </w:pPr>
      <w:rPr>
        <w:rFonts w:ascii="Symbol" w:hAnsi="Symbol"/>
      </w:rPr>
    </w:lvl>
    <w:lvl w:ilvl="2" w:tplc="A98A9138">
      <w:start w:val="1"/>
      <w:numFmt w:val="bullet"/>
      <w:lvlText w:val=""/>
      <w:lvlJc w:val="left"/>
      <w:pPr>
        <w:ind w:left="1080" w:hanging="360"/>
      </w:pPr>
      <w:rPr>
        <w:rFonts w:ascii="Symbol" w:hAnsi="Symbol"/>
      </w:rPr>
    </w:lvl>
    <w:lvl w:ilvl="3" w:tplc="99AC09D2">
      <w:start w:val="1"/>
      <w:numFmt w:val="bullet"/>
      <w:lvlText w:val=""/>
      <w:lvlJc w:val="left"/>
      <w:pPr>
        <w:ind w:left="1080" w:hanging="360"/>
      </w:pPr>
      <w:rPr>
        <w:rFonts w:ascii="Symbol" w:hAnsi="Symbol"/>
      </w:rPr>
    </w:lvl>
    <w:lvl w:ilvl="4" w:tplc="F7CA9BD0">
      <w:start w:val="1"/>
      <w:numFmt w:val="bullet"/>
      <w:lvlText w:val=""/>
      <w:lvlJc w:val="left"/>
      <w:pPr>
        <w:ind w:left="1080" w:hanging="360"/>
      </w:pPr>
      <w:rPr>
        <w:rFonts w:ascii="Symbol" w:hAnsi="Symbol"/>
      </w:rPr>
    </w:lvl>
    <w:lvl w:ilvl="5" w:tplc="2B42D1BA">
      <w:start w:val="1"/>
      <w:numFmt w:val="bullet"/>
      <w:lvlText w:val=""/>
      <w:lvlJc w:val="left"/>
      <w:pPr>
        <w:ind w:left="1080" w:hanging="360"/>
      </w:pPr>
      <w:rPr>
        <w:rFonts w:ascii="Symbol" w:hAnsi="Symbol"/>
      </w:rPr>
    </w:lvl>
    <w:lvl w:ilvl="6" w:tplc="61C8BED6">
      <w:start w:val="1"/>
      <w:numFmt w:val="bullet"/>
      <w:lvlText w:val=""/>
      <w:lvlJc w:val="left"/>
      <w:pPr>
        <w:ind w:left="1080" w:hanging="360"/>
      </w:pPr>
      <w:rPr>
        <w:rFonts w:ascii="Symbol" w:hAnsi="Symbol"/>
      </w:rPr>
    </w:lvl>
    <w:lvl w:ilvl="7" w:tplc="D2522B96">
      <w:start w:val="1"/>
      <w:numFmt w:val="bullet"/>
      <w:lvlText w:val=""/>
      <w:lvlJc w:val="left"/>
      <w:pPr>
        <w:ind w:left="1080" w:hanging="360"/>
      </w:pPr>
      <w:rPr>
        <w:rFonts w:ascii="Symbol" w:hAnsi="Symbol"/>
      </w:rPr>
    </w:lvl>
    <w:lvl w:ilvl="8" w:tplc="8640E992">
      <w:start w:val="1"/>
      <w:numFmt w:val="bullet"/>
      <w:lvlText w:val=""/>
      <w:lvlJc w:val="left"/>
      <w:pPr>
        <w:ind w:left="1080" w:hanging="360"/>
      </w:pPr>
      <w:rPr>
        <w:rFonts w:ascii="Symbol" w:hAnsi="Symbol"/>
      </w:rPr>
    </w:lvl>
  </w:abstractNum>
  <w:abstractNum w:abstractNumId="6" w15:restartNumberingAfterBreak="0">
    <w:nsid w:val="6CFA0555"/>
    <w:multiLevelType w:val="multilevel"/>
    <w:tmpl w:val="9754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2F5FB6"/>
    <w:multiLevelType w:val="multilevel"/>
    <w:tmpl w:val="39D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182544">
    <w:abstractNumId w:val="7"/>
  </w:num>
  <w:num w:numId="2" w16cid:durableId="185679516">
    <w:abstractNumId w:val="6"/>
  </w:num>
  <w:num w:numId="3" w16cid:durableId="102775792">
    <w:abstractNumId w:val="1"/>
  </w:num>
  <w:num w:numId="4" w16cid:durableId="1802380843">
    <w:abstractNumId w:val="3"/>
  </w:num>
  <w:num w:numId="5" w16cid:durableId="728580332">
    <w:abstractNumId w:val="2"/>
  </w:num>
  <w:num w:numId="6" w16cid:durableId="449475679">
    <w:abstractNumId w:val="0"/>
  </w:num>
  <w:num w:numId="7" w16cid:durableId="1787499686">
    <w:abstractNumId w:val="5"/>
  </w:num>
  <w:num w:numId="8" w16cid:durableId="183687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F5"/>
    <w:rsid w:val="00017021"/>
    <w:rsid w:val="000213E7"/>
    <w:rsid w:val="0004205E"/>
    <w:rsid w:val="00045F6B"/>
    <w:rsid w:val="0005605D"/>
    <w:rsid w:val="00057819"/>
    <w:rsid w:val="00070EF3"/>
    <w:rsid w:val="000756B1"/>
    <w:rsid w:val="00075CB2"/>
    <w:rsid w:val="000B74FF"/>
    <w:rsid w:val="000E0688"/>
    <w:rsid w:val="00110472"/>
    <w:rsid w:val="0013626C"/>
    <w:rsid w:val="00146445"/>
    <w:rsid w:val="00150AA5"/>
    <w:rsid w:val="00166C00"/>
    <w:rsid w:val="0017117D"/>
    <w:rsid w:val="0017475D"/>
    <w:rsid w:val="0018134B"/>
    <w:rsid w:val="001977C6"/>
    <w:rsid w:val="001D29FA"/>
    <w:rsid w:val="001D5B27"/>
    <w:rsid w:val="002124A7"/>
    <w:rsid w:val="00217C4A"/>
    <w:rsid w:val="00234A10"/>
    <w:rsid w:val="0025369E"/>
    <w:rsid w:val="00295AB0"/>
    <w:rsid w:val="002B31D7"/>
    <w:rsid w:val="002D1C92"/>
    <w:rsid w:val="002E2045"/>
    <w:rsid w:val="002F1CD3"/>
    <w:rsid w:val="00300AFD"/>
    <w:rsid w:val="00316C31"/>
    <w:rsid w:val="00326BD2"/>
    <w:rsid w:val="00337075"/>
    <w:rsid w:val="003404E7"/>
    <w:rsid w:val="00350CDD"/>
    <w:rsid w:val="003613CF"/>
    <w:rsid w:val="003C309B"/>
    <w:rsid w:val="003E46CD"/>
    <w:rsid w:val="00412A3F"/>
    <w:rsid w:val="0043685D"/>
    <w:rsid w:val="00442317"/>
    <w:rsid w:val="00442746"/>
    <w:rsid w:val="00443E92"/>
    <w:rsid w:val="00444A76"/>
    <w:rsid w:val="00453148"/>
    <w:rsid w:val="004548C1"/>
    <w:rsid w:val="0047044B"/>
    <w:rsid w:val="004728AF"/>
    <w:rsid w:val="00480E5B"/>
    <w:rsid w:val="004819D1"/>
    <w:rsid w:val="004912A6"/>
    <w:rsid w:val="004B29E9"/>
    <w:rsid w:val="004B77BD"/>
    <w:rsid w:val="004C7C21"/>
    <w:rsid w:val="00504278"/>
    <w:rsid w:val="005150CF"/>
    <w:rsid w:val="005173F5"/>
    <w:rsid w:val="00524A36"/>
    <w:rsid w:val="00545370"/>
    <w:rsid w:val="00546D4E"/>
    <w:rsid w:val="005563EC"/>
    <w:rsid w:val="00565713"/>
    <w:rsid w:val="00573353"/>
    <w:rsid w:val="00576CBC"/>
    <w:rsid w:val="0058380E"/>
    <w:rsid w:val="005A4687"/>
    <w:rsid w:val="005A527B"/>
    <w:rsid w:val="005B17F3"/>
    <w:rsid w:val="005C163C"/>
    <w:rsid w:val="005C1C91"/>
    <w:rsid w:val="005D6ECB"/>
    <w:rsid w:val="005E5424"/>
    <w:rsid w:val="005E7C52"/>
    <w:rsid w:val="006161D1"/>
    <w:rsid w:val="006235DC"/>
    <w:rsid w:val="006253F3"/>
    <w:rsid w:val="00625F30"/>
    <w:rsid w:val="006301F1"/>
    <w:rsid w:val="00653640"/>
    <w:rsid w:val="00656C9A"/>
    <w:rsid w:val="006706D4"/>
    <w:rsid w:val="00684211"/>
    <w:rsid w:val="006915A2"/>
    <w:rsid w:val="00696AE1"/>
    <w:rsid w:val="006B1C4B"/>
    <w:rsid w:val="006D2134"/>
    <w:rsid w:val="006E4F7A"/>
    <w:rsid w:val="00730464"/>
    <w:rsid w:val="007368EB"/>
    <w:rsid w:val="00756FFB"/>
    <w:rsid w:val="00776008"/>
    <w:rsid w:val="007766C2"/>
    <w:rsid w:val="00777FF3"/>
    <w:rsid w:val="007806C1"/>
    <w:rsid w:val="00780FF8"/>
    <w:rsid w:val="007A46DC"/>
    <w:rsid w:val="007A733E"/>
    <w:rsid w:val="007D793F"/>
    <w:rsid w:val="007E69C2"/>
    <w:rsid w:val="007E7F0E"/>
    <w:rsid w:val="007F01C5"/>
    <w:rsid w:val="007F58C2"/>
    <w:rsid w:val="008201D8"/>
    <w:rsid w:val="008224B8"/>
    <w:rsid w:val="0084056A"/>
    <w:rsid w:val="00864133"/>
    <w:rsid w:val="0087203D"/>
    <w:rsid w:val="008768E0"/>
    <w:rsid w:val="00882316"/>
    <w:rsid w:val="00892DFD"/>
    <w:rsid w:val="008933F6"/>
    <w:rsid w:val="008A42FB"/>
    <w:rsid w:val="008A4C75"/>
    <w:rsid w:val="008D1680"/>
    <w:rsid w:val="008D62E5"/>
    <w:rsid w:val="009212E3"/>
    <w:rsid w:val="009450E6"/>
    <w:rsid w:val="009605F8"/>
    <w:rsid w:val="00963209"/>
    <w:rsid w:val="009656BB"/>
    <w:rsid w:val="00977439"/>
    <w:rsid w:val="009C4AEA"/>
    <w:rsid w:val="009E24B8"/>
    <w:rsid w:val="00A24CDE"/>
    <w:rsid w:val="00A40C70"/>
    <w:rsid w:val="00A41D87"/>
    <w:rsid w:val="00A42FA3"/>
    <w:rsid w:val="00A43332"/>
    <w:rsid w:val="00A61434"/>
    <w:rsid w:val="00A614AC"/>
    <w:rsid w:val="00A84F56"/>
    <w:rsid w:val="00A85EE4"/>
    <w:rsid w:val="00AC7AED"/>
    <w:rsid w:val="00AF625C"/>
    <w:rsid w:val="00B343AB"/>
    <w:rsid w:val="00B36911"/>
    <w:rsid w:val="00B445C3"/>
    <w:rsid w:val="00B65C85"/>
    <w:rsid w:val="00B76076"/>
    <w:rsid w:val="00B91625"/>
    <w:rsid w:val="00BB5DB6"/>
    <w:rsid w:val="00C27DD1"/>
    <w:rsid w:val="00C44D9B"/>
    <w:rsid w:val="00C71937"/>
    <w:rsid w:val="00C861B3"/>
    <w:rsid w:val="00C87035"/>
    <w:rsid w:val="00C91400"/>
    <w:rsid w:val="00C93863"/>
    <w:rsid w:val="00CA6CBF"/>
    <w:rsid w:val="00CB2E68"/>
    <w:rsid w:val="00CB45E5"/>
    <w:rsid w:val="00CC4C44"/>
    <w:rsid w:val="00CF0298"/>
    <w:rsid w:val="00CF789E"/>
    <w:rsid w:val="00D0080F"/>
    <w:rsid w:val="00D121E2"/>
    <w:rsid w:val="00D14495"/>
    <w:rsid w:val="00D34A61"/>
    <w:rsid w:val="00D36185"/>
    <w:rsid w:val="00D5289B"/>
    <w:rsid w:val="00D73C29"/>
    <w:rsid w:val="00D812FD"/>
    <w:rsid w:val="00D8699E"/>
    <w:rsid w:val="00D86DE8"/>
    <w:rsid w:val="00D90EF3"/>
    <w:rsid w:val="00D94B90"/>
    <w:rsid w:val="00D9699F"/>
    <w:rsid w:val="00D9755B"/>
    <w:rsid w:val="00DA1185"/>
    <w:rsid w:val="00DA2588"/>
    <w:rsid w:val="00DB351B"/>
    <w:rsid w:val="00DC0E44"/>
    <w:rsid w:val="00DC5432"/>
    <w:rsid w:val="00DD6C7E"/>
    <w:rsid w:val="00E07B5B"/>
    <w:rsid w:val="00E209B1"/>
    <w:rsid w:val="00E20DB4"/>
    <w:rsid w:val="00E2510A"/>
    <w:rsid w:val="00E2687D"/>
    <w:rsid w:val="00E3121B"/>
    <w:rsid w:val="00E42E11"/>
    <w:rsid w:val="00E46A25"/>
    <w:rsid w:val="00E51919"/>
    <w:rsid w:val="00E65FEC"/>
    <w:rsid w:val="00E7094B"/>
    <w:rsid w:val="00E719D4"/>
    <w:rsid w:val="00E934BC"/>
    <w:rsid w:val="00EB19F2"/>
    <w:rsid w:val="00EC1EBE"/>
    <w:rsid w:val="00ED1E8B"/>
    <w:rsid w:val="00EE68F5"/>
    <w:rsid w:val="00F03B03"/>
    <w:rsid w:val="00F17993"/>
    <w:rsid w:val="00F5276C"/>
    <w:rsid w:val="00F94A3C"/>
    <w:rsid w:val="00FA3BD7"/>
    <w:rsid w:val="00FB7873"/>
    <w:rsid w:val="00FD4C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ACC"/>
  <w15:chartTrackingRefBased/>
  <w15:docId w15:val="{E4598B4D-59EB-455C-B0D1-B286E979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E6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E68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E68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E68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E68F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68F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68F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68F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68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E68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E68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E68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E68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E68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68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68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68F5"/>
    <w:rPr>
      <w:rFonts w:eastAsiaTheme="majorEastAsia" w:cstheme="majorBidi"/>
      <w:color w:val="272727" w:themeColor="text1" w:themeTint="D8"/>
    </w:rPr>
  </w:style>
  <w:style w:type="paragraph" w:styleId="Titre">
    <w:name w:val="Title"/>
    <w:basedOn w:val="Normal"/>
    <w:next w:val="Normal"/>
    <w:link w:val="TitreCar"/>
    <w:uiPriority w:val="10"/>
    <w:qFormat/>
    <w:rsid w:val="00EE6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8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68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E68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68F5"/>
    <w:pPr>
      <w:spacing w:before="160"/>
      <w:jc w:val="center"/>
    </w:pPr>
    <w:rPr>
      <w:i/>
      <w:iCs/>
      <w:color w:val="404040" w:themeColor="text1" w:themeTint="BF"/>
    </w:rPr>
  </w:style>
  <w:style w:type="character" w:customStyle="1" w:styleId="CitationCar">
    <w:name w:val="Citation Car"/>
    <w:basedOn w:val="Policepardfaut"/>
    <w:link w:val="Citation"/>
    <w:uiPriority w:val="29"/>
    <w:rsid w:val="00EE68F5"/>
    <w:rPr>
      <w:i/>
      <w:iCs/>
      <w:color w:val="404040" w:themeColor="text1" w:themeTint="BF"/>
    </w:rPr>
  </w:style>
  <w:style w:type="paragraph" w:styleId="Paragraphedeliste">
    <w:name w:val="List Paragraph"/>
    <w:basedOn w:val="Normal"/>
    <w:uiPriority w:val="34"/>
    <w:qFormat/>
    <w:rsid w:val="00EE68F5"/>
    <w:pPr>
      <w:ind w:left="720"/>
      <w:contextualSpacing/>
    </w:pPr>
  </w:style>
  <w:style w:type="character" w:styleId="Accentuationintense">
    <w:name w:val="Intense Emphasis"/>
    <w:basedOn w:val="Policepardfaut"/>
    <w:uiPriority w:val="21"/>
    <w:qFormat/>
    <w:rsid w:val="00EE68F5"/>
    <w:rPr>
      <w:i/>
      <w:iCs/>
      <w:color w:val="0F4761" w:themeColor="accent1" w:themeShade="BF"/>
    </w:rPr>
  </w:style>
  <w:style w:type="paragraph" w:styleId="Citationintense">
    <w:name w:val="Intense Quote"/>
    <w:basedOn w:val="Normal"/>
    <w:next w:val="Normal"/>
    <w:link w:val="CitationintenseCar"/>
    <w:uiPriority w:val="30"/>
    <w:qFormat/>
    <w:rsid w:val="00EE6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E68F5"/>
    <w:rPr>
      <w:i/>
      <w:iCs/>
      <w:color w:val="0F4761" w:themeColor="accent1" w:themeShade="BF"/>
    </w:rPr>
  </w:style>
  <w:style w:type="character" w:styleId="Rfrenceintense">
    <w:name w:val="Intense Reference"/>
    <w:basedOn w:val="Policepardfaut"/>
    <w:uiPriority w:val="32"/>
    <w:qFormat/>
    <w:rsid w:val="00EE68F5"/>
    <w:rPr>
      <w:b/>
      <w:bCs/>
      <w:smallCaps/>
      <w:color w:val="0F4761" w:themeColor="accent1" w:themeShade="BF"/>
      <w:spacing w:val="5"/>
    </w:rPr>
  </w:style>
  <w:style w:type="character" w:styleId="Lienhypertexte">
    <w:name w:val="Hyperlink"/>
    <w:basedOn w:val="Policepardfaut"/>
    <w:uiPriority w:val="99"/>
    <w:unhideWhenUsed/>
    <w:rsid w:val="00EE68F5"/>
    <w:rPr>
      <w:color w:val="467886" w:themeColor="hyperlink"/>
      <w:u w:val="single"/>
    </w:rPr>
  </w:style>
  <w:style w:type="character" w:styleId="Mentionnonrsolue">
    <w:name w:val="Unresolved Mention"/>
    <w:basedOn w:val="Policepardfaut"/>
    <w:uiPriority w:val="99"/>
    <w:semiHidden/>
    <w:unhideWhenUsed/>
    <w:rsid w:val="00EE68F5"/>
    <w:rPr>
      <w:color w:val="605E5C"/>
      <w:shd w:val="clear" w:color="auto" w:fill="E1DFDD"/>
    </w:rPr>
  </w:style>
  <w:style w:type="character" w:styleId="lev">
    <w:name w:val="Strong"/>
    <w:basedOn w:val="Policepardfaut"/>
    <w:uiPriority w:val="22"/>
    <w:qFormat/>
    <w:rsid w:val="00EE68F5"/>
    <w:rPr>
      <w:b/>
      <w:bCs/>
    </w:rPr>
  </w:style>
  <w:style w:type="table" w:styleId="Grilledutableau">
    <w:name w:val="Table Grid"/>
    <w:basedOn w:val="TableauNormal"/>
    <w:uiPriority w:val="39"/>
    <w:rsid w:val="003613CF"/>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nhideWhenUsed/>
    <w:rsid w:val="007766C2"/>
    <w:pPr>
      <w:spacing w:after="0" w:line="240" w:lineRule="auto"/>
    </w:pPr>
    <w:rPr>
      <w:rFonts w:ascii="Times New Roman" w:eastAsia="Times New Roman" w:hAnsi="Times New Roman" w:cs="Times New Roman"/>
      <w:sz w:val="20"/>
      <w:szCs w:val="24"/>
      <w:lang w:eastAsia="fr-FR"/>
      <w14:ligatures w14:val="none"/>
    </w:rPr>
  </w:style>
  <w:style w:type="character" w:customStyle="1" w:styleId="CommentaireCar">
    <w:name w:val="Commentaire Car"/>
    <w:basedOn w:val="Policepardfaut"/>
    <w:link w:val="Commentaire"/>
    <w:rsid w:val="007766C2"/>
    <w:rPr>
      <w:rFonts w:ascii="Times New Roman" w:eastAsia="Times New Roman" w:hAnsi="Times New Roman" w:cs="Times New Roman"/>
      <w:sz w:val="20"/>
      <w:szCs w:val="24"/>
      <w:lang w:val="en" w:eastAsia="fr-FR"/>
      <w14:ligatures w14:val="none"/>
    </w:rPr>
  </w:style>
  <w:style w:type="character" w:styleId="Marquedecommentaire">
    <w:name w:val="annotation reference"/>
    <w:basedOn w:val="Policepardfaut"/>
    <w:uiPriority w:val="99"/>
    <w:semiHidden/>
    <w:unhideWhenUsed/>
    <w:rsid w:val="005B17F3"/>
    <w:rPr>
      <w:sz w:val="16"/>
      <w:szCs w:val="16"/>
    </w:rPr>
  </w:style>
  <w:style w:type="paragraph" w:styleId="Objetducommentaire">
    <w:name w:val="annotation subject"/>
    <w:basedOn w:val="Commentaire"/>
    <w:next w:val="Commentaire"/>
    <w:link w:val="ObjetducommentaireCar"/>
    <w:uiPriority w:val="99"/>
    <w:semiHidden/>
    <w:unhideWhenUsed/>
    <w:rsid w:val="005B17F3"/>
    <w:pPr>
      <w:spacing w:after="160"/>
    </w:pPr>
    <w:rPr>
      <w:rFonts w:asciiTheme="minorHAnsi" w:eastAsiaTheme="minorHAnsi" w:hAnsiTheme="minorHAnsi" w:cstheme="minorBidi"/>
      <w:b/>
      <w:bCs/>
      <w:szCs w:val="20"/>
      <w:lang w:eastAsia="en-US"/>
      <w14:ligatures w14:val="standardContextual"/>
    </w:rPr>
  </w:style>
  <w:style w:type="character" w:customStyle="1" w:styleId="ObjetducommentaireCar">
    <w:name w:val="Objet du commentaire Car"/>
    <w:basedOn w:val="CommentaireCar"/>
    <w:link w:val="Objetducommentaire"/>
    <w:uiPriority w:val="99"/>
    <w:semiHidden/>
    <w:rsid w:val="005B17F3"/>
    <w:rPr>
      <w:rFonts w:ascii="Times New Roman" w:eastAsia="Times New Roman" w:hAnsi="Times New Roman" w:cs="Times New Roman"/>
      <w:b/>
      <w:bCs/>
      <w:sz w:val="20"/>
      <w:szCs w:val="20"/>
      <w:lang w:val="en" w:eastAsia="fr-FR"/>
      <w14:ligatures w14:val="none"/>
    </w:rPr>
  </w:style>
  <w:style w:type="paragraph" w:styleId="Rvision">
    <w:name w:val="Revision"/>
    <w:hidden/>
    <w:uiPriority w:val="99"/>
    <w:semiHidden/>
    <w:rsid w:val="00504278"/>
    <w:pPr>
      <w:spacing w:after="0" w:line="240" w:lineRule="auto"/>
    </w:pPr>
  </w:style>
  <w:style w:type="paragraph" w:styleId="Notedebasdepage">
    <w:name w:val="footnote text"/>
    <w:basedOn w:val="Normal"/>
    <w:link w:val="NotedebasdepageCar"/>
    <w:uiPriority w:val="99"/>
    <w:semiHidden/>
    <w:unhideWhenUsed/>
    <w:rsid w:val="00A61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14AC"/>
    <w:rPr>
      <w:sz w:val="20"/>
      <w:szCs w:val="20"/>
    </w:rPr>
  </w:style>
  <w:style w:type="character" w:styleId="Appelnotedebasdep">
    <w:name w:val="footnote reference"/>
    <w:basedOn w:val="Policepardfaut"/>
    <w:uiPriority w:val="99"/>
    <w:semiHidden/>
    <w:unhideWhenUsed/>
    <w:rsid w:val="00A614AC"/>
    <w:rPr>
      <w:vertAlign w:val="superscript"/>
    </w:rPr>
  </w:style>
  <w:style w:type="paragraph" w:customStyle="1" w:styleId="pf1">
    <w:name w:val="pf1"/>
    <w:basedOn w:val="Normal"/>
    <w:rsid w:val="008768E0"/>
    <w:pPr>
      <w:spacing w:before="100" w:beforeAutospacing="1" w:after="100" w:afterAutospacing="1" w:line="240" w:lineRule="auto"/>
    </w:pPr>
    <w:rPr>
      <w:rFonts w:ascii="Times New Roman" w:eastAsia="Times New Roman" w:hAnsi="Times New Roman" w:cs="Times New Roman"/>
      <w:sz w:val="24"/>
      <w:szCs w:val="24"/>
      <w:lang w:eastAsia="fr-FR"/>
      <w14:ligatures w14:val="none"/>
    </w:rPr>
  </w:style>
  <w:style w:type="paragraph" w:customStyle="1" w:styleId="pf0">
    <w:name w:val="pf0"/>
    <w:basedOn w:val="Normal"/>
    <w:rsid w:val="008768E0"/>
    <w:pPr>
      <w:spacing w:before="100" w:beforeAutospacing="1" w:after="100" w:afterAutospacing="1" w:line="240" w:lineRule="auto"/>
    </w:pPr>
    <w:rPr>
      <w:rFonts w:ascii="Times New Roman" w:eastAsia="Times New Roman" w:hAnsi="Times New Roman" w:cs="Times New Roman"/>
      <w:sz w:val="24"/>
      <w:szCs w:val="24"/>
      <w:lang w:eastAsia="fr-FR"/>
      <w14:ligatures w14:val="none"/>
    </w:rPr>
  </w:style>
  <w:style w:type="character" w:customStyle="1" w:styleId="cf01">
    <w:name w:val="cf01"/>
    <w:basedOn w:val="Policepardfaut"/>
    <w:rsid w:val="008768E0"/>
    <w:rPr>
      <w:rFonts w:ascii="Segoe UI" w:hAnsi="Segoe UI" w:cs="Segoe UI" w:hint="default"/>
      <w:b/>
      <w:bCs/>
      <w:color w:val="424242"/>
      <w:sz w:val="18"/>
      <w:szCs w:val="18"/>
      <w:shd w:val="clear" w:color="auto" w:fill="FFFFFF"/>
    </w:rPr>
  </w:style>
  <w:style w:type="character" w:customStyle="1" w:styleId="cf21">
    <w:name w:val="cf21"/>
    <w:basedOn w:val="Policepardfaut"/>
    <w:rsid w:val="008768E0"/>
    <w:rPr>
      <w:rFonts w:ascii="Segoe UI" w:hAnsi="Segoe UI" w:cs="Segoe UI" w:hint="default"/>
      <w:color w:val="424242"/>
      <w:sz w:val="18"/>
      <w:szCs w:val="18"/>
      <w:shd w:val="clear" w:color="auto" w:fill="FFFFFF"/>
    </w:rPr>
  </w:style>
  <w:style w:type="paragraph" w:styleId="En-tte">
    <w:name w:val="header"/>
    <w:basedOn w:val="Normal"/>
    <w:link w:val="En-tteCar"/>
    <w:uiPriority w:val="99"/>
    <w:unhideWhenUsed/>
    <w:rsid w:val="00B76076"/>
    <w:pPr>
      <w:tabs>
        <w:tab w:val="center" w:pos="4536"/>
        <w:tab w:val="right" w:pos="9072"/>
      </w:tabs>
      <w:spacing w:after="0" w:line="240" w:lineRule="auto"/>
    </w:pPr>
  </w:style>
  <w:style w:type="character" w:customStyle="1" w:styleId="En-tteCar">
    <w:name w:val="En-tête Car"/>
    <w:basedOn w:val="Policepardfaut"/>
    <w:link w:val="En-tte"/>
    <w:uiPriority w:val="99"/>
    <w:rsid w:val="00B76076"/>
  </w:style>
  <w:style w:type="paragraph" w:styleId="Pieddepage">
    <w:name w:val="footer"/>
    <w:basedOn w:val="Normal"/>
    <w:link w:val="PieddepageCar"/>
    <w:uiPriority w:val="99"/>
    <w:unhideWhenUsed/>
    <w:rsid w:val="00B760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1110">
      <w:bodyDiv w:val="1"/>
      <w:marLeft w:val="0"/>
      <w:marRight w:val="0"/>
      <w:marTop w:val="0"/>
      <w:marBottom w:val="0"/>
      <w:divBdr>
        <w:top w:val="none" w:sz="0" w:space="0" w:color="auto"/>
        <w:left w:val="none" w:sz="0" w:space="0" w:color="auto"/>
        <w:bottom w:val="none" w:sz="0" w:space="0" w:color="auto"/>
        <w:right w:val="none" w:sz="0" w:space="0" w:color="auto"/>
      </w:divBdr>
    </w:div>
    <w:div w:id="289560434">
      <w:bodyDiv w:val="1"/>
      <w:marLeft w:val="0"/>
      <w:marRight w:val="0"/>
      <w:marTop w:val="0"/>
      <w:marBottom w:val="0"/>
      <w:divBdr>
        <w:top w:val="none" w:sz="0" w:space="0" w:color="auto"/>
        <w:left w:val="none" w:sz="0" w:space="0" w:color="auto"/>
        <w:bottom w:val="none" w:sz="0" w:space="0" w:color="auto"/>
        <w:right w:val="none" w:sz="0" w:space="0" w:color="auto"/>
      </w:divBdr>
    </w:div>
    <w:div w:id="464197554">
      <w:bodyDiv w:val="1"/>
      <w:marLeft w:val="0"/>
      <w:marRight w:val="0"/>
      <w:marTop w:val="0"/>
      <w:marBottom w:val="0"/>
      <w:divBdr>
        <w:top w:val="none" w:sz="0" w:space="0" w:color="auto"/>
        <w:left w:val="none" w:sz="0" w:space="0" w:color="auto"/>
        <w:bottom w:val="none" w:sz="0" w:space="0" w:color="auto"/>
        <w:right w:val="none" w:sz="0" w:space="0" w:color="auto"/>
      </w:divBdr>
    </w:div>
    <w:div w:id="727806369">
      <w:bodyDiv w:val="1"/>
      <w:marLeft w:val="0"/>
      <w:marRight w:val="0"/>
      <w:marTop w:val="0"/>
      <w:marBottom w:val="0"/>
      <w:divBdr>
        <w:top w:val="none" w:sz="0" w:space="0" w:color="auto"/>
        <w:left w:val="none" w:sz="0" w:space="0" w:color="auto"/>
        <w:bottom w:val="none" w:sz="0" w:space="0" w:color="auto"/>
        <w:right w:val="none" w:sz="0" w:space="0" w:color="auto"/>
      </w:divBdr>
    </w:div>
    <w:div w:id="900485704">
      <w:bodyDiv w:val="1"/>
      <w:marLeft w:val="0"/>
      <w:marRight w:val="0"/>
      <w:marTop w:val="0"/>
      <w:marBottom w:val="0"/>
      <w:divBdr>
        <w:top w:val="none" w:sz="0" w:space="0" w:color="auto"/>
        <w:left w:val="none" w:sz="0" w:space="0" w:color="auto"/>
        <w:bottom w:val="none" w:sz="0" w:space="0" w:color="auto"/>
        <w:right w:val="none" w:sz="0" w:space="0" w:color="auto"/>
      </w:divBdr>
    </w:div>
    <w:div w:id="1048145405">
      <w:bodyDiv w:val="1"/>
      <w:marLeft w:val="0"/>
      <w:marRight w:val="0"/>
      <w:marTop w:val="0"/>
      <w:marBottom w:val="0"/>
      <w:divBdr>
        <w:top w:val="none" w:sz="0" w:space="0" w:color="auto"/>
        <w:left w:val="none" w:sz="0" w:space="0" w:color="auto"/>
        <w:bottom w:val="none" w:sz="0" w:space="0" w:color="auto"/>
        <w:right w:val="none" w:sz="0" w:space="0" w:color="auto"/>
      </w:divBdr>
    </w:div>
    <w:div w:id="1151486760">
      <w:bodyDiv w:val="1"/>
      <w:marLeft w:val="0"/>
      <w:marRight w:val="0"/>
      <w:marTop w:val="0"/>
      <w:marBottom w:val="0"/>
      <w:divBdr>
        <w:top w:val="none" w:sz="0" w:space="0" w:color="auto"/>
        <w:left w:val="none" w:sz="0" w:space="0" w:color="auto"/>
        <w:bottom w:val="none" w:sz="0" w:space="0" w:color="auto"/>
        <w:right w:val="none" w:sz="0" w:space="0" w:color="auto"/>
      </w:divBdr>
    </w:div>
    <w:div w:id="1286541038">
      <w:bodyDiv w:val="1"/>
      <w:marLeft w:val="0"/>
      <w:marRight w:val="0"/>
      <w:marTop w:val="0"/>
      <w:marBottom w:val="0"/>
      <w:divBdr>
        <w:top w:val="none" w:sz="0" w:space="0" w:color="auto"/>
        <w:left w:val="none" w:sz="0" w:space="0" w:color="auto"/>
        <w:bottom w:val="none" w:sz="0" w:space="0" w:color="auto"/>
        <w:right w:val="none" w:sz="0" w:space="0" w:color="auto"/>
      </w:divBdr>
    </w:div>
    <w:div w:id="1347057328">
      <w:bodyDiv w:val="1"/>
      <w:marLeft w:val="0"/>
      <w:marRight w:val="0"/>
      <w:marTop w:val="0"/>
      <w:marBottom w:val="0"/>
      <w:divBdr>
        <w:top w:val="none" w:sz="0" w:space="0" w:color="auto"/>
        <w:left w:val="none" w:sz="0" w:space="0" w:color="auto"/>
        <w:bottom w:val="none" w:sz="0" w:space="0" w:color="auto"/>
        <w:right w:val="none" w:sz="0" w:space="0" w:color="auto"/>
      </w:divBdr>
    </w:div>
    <w:div w:id="1577276035">
      <w:bodyDiv w:val="1"/>
      <w:marLeft w:val="0"/>
      <w:marRight w:val="0"/>
      <w:marTop w:val="0"/>
      <w:marBottom w:val="0"/>
      <w:divBdr>
        <w:top w:val="none" w:sz="0" w:space="0" w:color="auto"/>
        <w:left w:val="none" w:sz="0" w:space="0" w:color="auto"/>
        <w:bottom w:val="none" w:sz="0" w:space="0" w:color="auto"/>
        <w:right w:val="none" w:sz="0" w:space="0" w:color="auto"/>
      </w:divBdr>
    </w:div>
    <w:div w:id="1690640995">
      <w:bodyDiv w:val="1"/>
      <w:marLeft w:val="0"/>
      <w:marRight w:val="0"/>
      <w:marTop w:val="0"/>
      <w:marBottom w:val="0"/>
      <w:divBdr>
        <w:top w:val="none" w:sz="0" w:space="0" w:color="auto"/>
        <w:left w:val="none" w:sz="0" w:space="0" w:color="auto"/>
        <w:bottom w:val="none" w:sz="0" w:space="0" w:color="auto"/>
        <w:right w:val="none" w:sz="0" w:space="0" w:color="auto"/>
      </w:divBdr>
    </w:div>
    <w:div w:id="19574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15094080991,,659686035" TargetMode="External"/><Relationship Id="rId18" Type="http://schemas.openxmlformats.org/officeDocument/2006/relationships/hyperlink" Target="https://dialin.teams.microsoft.com/usp/pstnconferenc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15094080991,,659686035" TargetMode="External"/><Relationship Id="rId17" Type="http://schemas.openxmlformats.org/officeDocument/2006/relationships/hyperlink" Target="https://teams.microsoft.com/meetingOptions/?organizerId=4274172a-99da-4973-af0e-8e419cf5cce4&amp;tenantId=31a2fec0-266b-4c67-b56e-2796d8f59c36&amp;threadId=19_meeting_OTRiYjFkYmEtYTcyOC00MGM2LThmNDItZjU0MTVlYWIxZWQ1@thread.v2&amp;messageId=0&amp;language=en-US" TargetMode="External"/><Relationship Id="rId2" Type="http://schemas.openxmlformats.org/officeDocument/2006/relationships/numbering" Target="numbering.xml"/><Relationship Id="rId16" Type="http://schemas.openxmlformats.org/officeDocument/2006/relationships/hyperlink" Target="https://www.webex.com/msteams?confid=1191725341&amp;tenantkey=wbg&amp;domain=m.webe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5094080991,,659686035" TargetMode="External"/><Relationship Id="rId5" Type="http://schemas.openxmlformats.org/officeDocument/2006/relationships/webSettings" Target="webSettings.xml"/><Relationship Id="rId15" Type="http://schemas.openxmlformats.org/officeDocument/2006/relationships/hyperlink" Target="mailto:wbg@m.webex.com" TargetMode="External"/><Relationship Id="rId10" Type="http://schemas.openxmlformats.org/officeDocument/2006/relationships/hyperlink" Target="tel:+15094080991,,659686035" TargetMode="External"/><Relationship Id="rId19" Type="http://schemas.openxmlformats.org/officeDocument/2006/relationships/hyperlink" Target="mailto:uncpaar5@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15094080991,,6596860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cnma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DDA1-A76E-4644-AED4-99C90AF7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1594</Words>
  <Characters>8770</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Ousmane Makan Sidibe</dc:creator>
  <cp:keywords/>
  <dc:description/>
  <cp:lastModifiedBy>1</cp:lastModifiedBy>
  <cp:revision>2</cp:revision>
  <cp:lastPrinted>2025-05-30T10:05:00Z</cp:lastPrinted>
  <dcterms:created xsi:type="dcterms:W3CDTF">2025-06-03T12:43:00Z</dcterms:created>
  <dcterms:modified xsi:type="dcterms:W3CDTF">2025-06-03T12:43:00Z</dcterms:modified>
</cp:coreProperties>
</file>