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DFFC5" w14:textId="77777777" w:rsidR="003D3009" w:rsidRDefault="003D3009" w:rsidP="00652FBA">
      <w:pPr>
        <w:spacing w:after="120"/>
        <w:jc w:val="center"/>
        <w:rPr>
          <w:b/>
          <w:sz w:val="20"/>
          <w:u w:val="single"/>
        </w:rPr>
      </w:pPr>
      <w:r>
        <w:rPr>
          <w:b/>
          <w:sz w:val="20"/>
          <w:u w:val="single"/>
        </w:rPr>
        <w:t>Spécifications relatives aux médicaments et à leur fourniture</w:t>
      </w:r>
    </w:p>
    <w:p w14:paraId="7FFA14FC" w14:textId="77777777" w:rsidR="003D3009" w:rsidRDefault="003D3009" w:rsidP="00B12471">
      <w:pPr>
        <w:tabs>
          <w:tab w:val="left" w:pos="1632"/>
          <w:tab w:val="center" w:pos="4536"/>
        </w:tabs>
        <w:spacing w:after="480"/>
        <w:jc w:val="center"/>
        <w:rPr>
          <w:b/>
          <w:sz w:val="20"/>
          <w:u w:val="single"/>
        </w:rPr>
      </w:pPr>
      <w:r>
        <w:rPr>
          <w:b/>
          <w:sz w:val="20"/>
          <w:u w:val="single"/>
        </w:rPr>
        <w:t>(Normes de la GIZ)</w:t>
      </w:r>
    </w:p>
    <w:p w14:paraId="38040175" w14:textId="77777777" w:rsidR="003D3009" w:rsidRDefault="003D3009" w:rsidP="00652FBA">
      <w:pPr>
        <w:pStyle w:val="1Einrckung"/>
        <w:spacing w:after="180"/>
        <w:ind w:left="357" w:hanging="357"/>
        <w:rPr>
          <w:b/>
          <w:sz w:val="20"/>
        </w:rPr>
      </w:pPr>
      <w:r>
        <w:rPr>
          <w:b/>
          <w:sz w:val="20"/>
        </w:rPr>
        <w:t>1.</w:t>
      </w:r>
      <w:r>
        <w:rPr>
          <w:b/>
          <w:sz w:val="20"/>
        </w:rPr>
        <w:tab/>
        <w:t>Qualité des produits</w:t>
      </w:r>
    </w:p>
    <w:p w14:paraId="0CB8AD5D" w14:textId="77777777" w:rsidR="003D3009" w:rsidRDefault="003D3009" w:rsidP="00652FBA">
      <w:pPr>
        <w:pStyle w:val="1Einrckung"/>
        <w:numPr>
          <w:ilvl w:val="1"/>
          <w:numId w:val="11"/>
        </w:numPr>
        <w:tabs>
          <w:tab w:val="clear" w:pos="567"/>
        </w:tabs>
        <w:spacing w:after="180"/>
        <w:ind w:left="357" w:hanging="357"/>
        <w:rPr>
          <w:sz w:val="20"/>
        </w:rPr>
      </w:pPr>
      <w:r>
        <w:rPr>
          <w:b/>
          <w:sz w:val="20"/>
        </w:rPr>
        <w:t>Autorisation</w:t>
      </w:r>
    </w:p>
    <w:p w14:paraId="23DF83AE" w14:textId="01122004" w:rsidR="003D3009" w:rsidRDefault="003D3009" w:rsidP="00BE7ECE">
      <w:pPr>
        <w:pStyle w:val="1Einrckung"/>
        <w:tabs>
          <w:tab w:val="clear" w:pos="567"/>
        </w:tabs>
        <w:spacing w:after="120"/>
        <w:ind w:left="357" w:firstLine="0"/>
        <w:rPr>
          <w:sz w:val="20"/>
        </w:rPr>
      </w:pPr>
      <w:r>
        <w:rPr>
          <w:sz w:val="20"/>
        </w:rPr>
        <w:t>Les médicaments proposés doivent être autorisés par un pays membre de l’Espace économique européen (Union européenne, Norvège, Islande et Liechtenstein), les États-Unis, la Suisse, le Canada ou le Japon.</w:t>
      </w:r>
    </w:p>
    <w:p w14:paraId="50CB7B35" w14:textId="35966499" w:rsidR="003D3009" w:rsidRDefault="003D3009" w:rsidP="00BE7ECE">
      <w:pPr>
        <w:pStyle w:val="1Einrckung"/>
        <w:tabs>
          <w:tab w:val="clear" w:pos="567"/>
        </w:tabs>
        <w:spacing w:after="240"/>
        <w:ind w:left="357" w:firstLine="0"/>
        <w:rPr>
          <w:sz w:val="20"/>
        </w:rPr>
      </w:pPr>
      <w:r>
        <w:rPr>
          <w:sz w:val="20"/>
        </w:rPr>
        <w:t>Le numéro d’autorisation local, le nom du médicament et le titulaire de l’autorisation doivent être mentionnés dans l’offre</w:t>
      </w:r>
      <w:r w:rsidR="001D4456" w:rsidRPr="001D4456">
        <w:rPr>
          <w:sz w:val="20"/>
        </w:rPr>
        <w:t>, qui doit être envoyée au format PDF</w:t>
      </w:r>
      <w:r>
        <w:rPr>
          <w:sz w:val="20"/>
        </w:rPr>
        <w:t>.</w:t>
      </w:r>
    </w:p>
    <w:p w14:paraId="294287A8" w14:textId="77777777" w:rsidR="003D3009" w:rsidRDefault="003D3009" w:rsidP="00652FBA">
      <w:pPr>
        <w:pStyle w:val="1Einrckung"/>
        <w:numPr>
          <w:ilvl w:val="1"/>
          <w:numId w:val="11"/>
        </w:numPr>
        <w:tabs>
          <w:tab w:val="clear" w:pos="567"/>
        </w:tabs>
        <w:spacing w:after="180"/>
        <w:ind w:left="357" w:hanging="357"/>
        <w:rPr>
          <w:color w:val="000000"/>
          <w:sz w:val="20"/>
        </w:rPr>
      </w:pPr>
      <w:r>
        <w:rPr>
          <w:b/>
          <w:color w:val="000000"/>
          <w:sz w:val="20"/>
        </w:rPr>
        <w:t>Fabrication et importation</w:t>
      </w:r>
    </w:p>
    <w:p w14:paraId="785B04FB" w14:textId="1927F03D" w:rsidR="003D3009" w:rsidRDefault="003D3009" w:rsidP="00BE7ECE">
      <w:pPr>
        <w:pStyle w:val="1Einrckung"/>
        <w:tabs>
          <w:tab w:val="clear" w:pos="567"/>
        </w:tabs>
        <w:spacing w:after="120"/>
        <w:ind w:left="357" w:firstLine="0"/>
        <w:rPr>
          <w:sz w:val="20"/>
        </w:rPr>
      </w:pPr>
      <w:r>
        <w:rPr>
          <w:sz w:val="20"/>
        </w:rPr>
        <w:t>Le fabricant doit avoir reçu de la ou des autorités réglementaires compétentes l’autorisation de fabriquer les médicaments proposés.</w:t>
      </w:r>
    </w:p>
    <w:p w14:paraId="56DAFFED" w14:textId="2C380683" w:rsidR="003D3009" w:rsidRDefault="003D3009" w:rsidP="00BE7ECE">
      <w:pPr>
        <w:pStyle w:val="1Einrckung"/>
        <w:tabs>
          <w:tab w:val="clear" w:pos="567"/>
        </w:tabs>
        <w:spacing w:after="120"/>
        <w:ind w:left="357" w:firstLine="0"/>
        <w:rPr>
          <w:sz w:val="20"/>
        </w:rPr>
      </w:pPr>
      <w:r>
        <w:rPr>
          <w:sz w:val="20"/>
        </w:rPr>
        <w:t>La fabrication des médicaments proposés doit respecter les règles de base recommandées par l’Organisation mondiale de la santé en matière de fabrication de médicaments et d’assurance de leur qualité.</w:t>
      </w:r>
    </w:p>
    <w:p w14:paraId="2A9912EC" w14:textId="2F909554" w:rsidR="003D3009" w:rsidRPr="00183FBE" w:rsidRDefault="003D3009" w:rsidP="00BE7ECE">
      <w:pPr>
        <w:pStyle w:val="1Einrckung"/>
        <w:tabs>
          <w:tab w:val="clear" w:pos="567"/>
        </w:tabs>
        <w:spacing w:after="240"/>
        <w:ind w:left="357" w:firstLine="0"/>
        <w:rPr>
          <w:sz w:val="20"/>
        </w:rPr>
      </w:pPr>
      <w:bookmarkStart w:id="0" w:name="_Hlk164273194"/>
      <w:r>
        <w:rPr>
          <w:sz w:val="20"/>
        </w:rPr>
        <w:t>Pour les importations en provenance de pays non membres de l’UE ou de l’EEE, l’importateur doit être en possession d’une autorisation d’importation.</w:t>
      </w:r>
    </w:p>
    <w:bookmarkEnd w:id="0"/>
    <w:p w14:paraId="4D77A9D2" w14:textId="77777777" w:rsidR="003D3009" w:rsidRPr="003A4E68" w:rsidRDefault="003D3009" w:rsidP="00652FBA">
      <w:pPr>
        <w:pStyle w:val="1Einrckung"/>
        <w:numPr>
          <w:ilvl w:val="1"/>
          <w:numId w:val="11"/>
        </w:numPr>
        <w:tabs>
          <w:tab w:val="clear" w:pos="567"/>
        </w:tabs>
        <w:spacing w:after="180"/>
        <w:ind w:left="357" w:hanging="357"/>
        <w:rPr>
          <w:b/>
          <w:color w:val="000000"/>
          <w:sz w:val="20"/>
        </w:rPr>
      </w:pPr>
      <w:r>
        <w:rPr>
          <w:b/>
          <w:color w:val="000000"/>
          <w:sz w:val="20"/>
        </w:rPr>
        <w:t>Absence de composants infectieux</w:t>
      </w:r>
    </w:p>
    <w:p w14:paraId="02BABF13" w14:textId="77777777" w:rsidR="003D3009" w:rsidRDefault="003D3009" w:rsidP="00BE7ECE">
      <w:pPr>
        <w:pStyle w:val="1Einrckung"/>
        <w:tabs>
          <w:tab w:val="clear" w:pos="567"/>
        </w:tabs>
        <w:spacing w:after="240"/>
        <w:ind w:left="357" w:firstLine="0"/>
        <w:rPr>
          <w:sz w:val="20"/>
        </w:rPr>
      </w:pPr>
      <w:r>
        <w:rPr>
          <w:sz w:val="20"/>
        </w:rPr>
        <w:t>Les produits proposés doivent être exempts de tout composant infectieux.</w:t>
      </w:r>
    </w:p>
    <w:p w14:paraId="5140F0F3" w14:textId="33D81403" w:rsidR="003D3009" w:rsidRDefault="003D3009" w:rsidP="00BE7ECE">
      <w:pPr>
        <w:pStyle w:val="1Einrckung"/>
        <w:tabs>
          <w:tab w:val="clear" w:pos="567"/>
        </w:tabs>
        <w:spacing w:after="240"/>
        <w:ind w:left="357" w:firstLine="0"/>
        <w:rPr>
          <w:sz w:val="20"/>
        </w:rPr>
      </w:pPr>
      <w:r>
        <w:rPr>
          <w:sz w:val="20"/>
        </w:rPr>
        <w:t>Pour chaque produit dans lequel des composants infectieux sont susceptibles d’être présents, le fournisseur doit joindre aux documents de livraison un certificat visé par l’autorité compétente attestant l’absence de composants infectieux, notamment ceux associés au VIH/SIDA, à la syphilis et à l’hépatite.</w:t>
      </w:r>
    </w:p>
    <w:p w14:paraId="43688B32" w14:textId="77777777" w:rsidR="003D3009" w:rsidRPr="003F202F" w:rsidRDefault="003D3009" w:rsidP="00652FBA">
      <w:pPr>
        <w:pStyle w:val="1Einrckung"/>
        <w:numPr>
          <w:ilvl w:val="1"/>
          <w:numId w:val="11"/>
        </w:numPr>
        <w:tabs>
          <w:tab w:val="clear" w:pos="567"/>
        </w:tabs>
        <w:spacing w:after="180"/>
        <w:ind w:left="357" w:hanging="357"/>
        <w:rPr>
          <w:b/>
          <w:color w:val="000000"/>
          <w:sz w:val="20"/>
        </w:rPr>
      </w:pPr>
      <w:r>
        <w:rPr>
          <w:b/>
          <w:sz w:val="20"/>
        </w:rPr>
        <w:t>Pièces justificatives à fournir</w:t>
      </w:r>
    </w:p>
    <w:p w14:paraId="1CB0E3BE" w14:textId="75062763" w:rsidR="003D3009" w:rsidRDefault="003D3009" w:rsidP="00BE7ECE">
      <w:pPr>
        <w:pStyle w:val="1Einrckung"/>
        <w:tabs>
          <w:tab w:val="clear" w:pos="567"/>
        </w:tabs>
        <w:spacing w:after="240"/>
        <w:ind w:left="357" w:firstLine="0"/>
        <w:rPr>
          <w:sz w:val="20"/>
        </w:rPr>
      </w:pPr>
      <w:r>
        <w:rPr>
          <w:sz w:val="20"/>
        </w:rPr>
        <w:t>Le fournisseur doit joindre à son offre une déclaration conforme au modèle ci-joint. Le pays de fabrication et le code d’autorisation de mise sur le marché (AMM) doivent également être indiqués pour chaque médicament.</w:t>
      </w:r>
    </w:p>
    <w:p w14:paraId="491DBD0D" w14:textId="77777777" w:rsidR="003D3009" w:rsidRPr="003F202F" w:rsidRDefault="003D3009" w:rsidP="00652FBA">
      <w:pPr>
        <w:pStyle w:val="1Einrckung"/>
        <w:numPr>
          <w:ilvl w:val="1"/>
          <w:numId w:val="11"/>
        </w:numPr>
        <w:tabs>
          <w:tab w:val="clear" w:pos="567"/>
        </w:tabs>
        <w:spacing w:after="180"/>
        <w:ind w:left="357" w:hanging="357"/>
        <w:rPr>
          <w:sz w:val="20"/>
        </w:rPr>
      </w:pPr>
      <w:r>
        <w:rPr>
          <w:b/>
          <w:sz w:val="20"/>
        </w:rPr>
        <w:t>Lots</w:t>
      </w:r>
    </w:p>
    <w:p w14:paraId="14EA6B13" w14:textId="0821F81B" w:rsidR="003D3009" w:rsidRDefault="003D3009" w:rsidP="00BE7ECE">
      <w:pPr>
        <w:pStyle w:val="1Einrckung"/>
        <w:tabs>
          <w:tab w:val="clear" w:pos="567"/>
        </w:tabs>
        <w:spacing w:after="240"/>
        <w:ind w:left="357" w:firstLine="0"/>
        <w:rPr>
          <w:sz w:val="20"/>
        </w:rPr>
      </w:pPr>
      <w:r>
        <w:rPr>
          <w:sz w:val="20"/>
        </w:rPr>
        <w:t>Chaque livraison doit être composée d’un nombre de lots aussi réduit que possible.</w:t>
      </w:r>
    </w:p>
    <w:p w14:paraId="001A7918" w14:textId="1A37D018" w:rsidR="003D3009" w:rsidRDefault="003D3009" w:rsidP="00BE7ECE">
      <w:pPr>
        <w:pStyle w:val="1Einrckung"/>
        <w:tabs>
          <w:tab w:val="clear" w:pos="567"/>
        </w:tabs>
        <w:spacing w:after="240"/>
        <w:ind w:left="357" w:firstLine="0"/>
        <w:rPr>
          <w:sz w:val="20"/>
        </w:rPr>
      </w:pPr>
      <w:r>
        <w:rPr>
          <w:sz w:val="20"/>
        </w:rPr>
        <w:t>Les échantillons de rétention et les résultats d’analyse de tous les lots livrés doivent être conservés et remis à la GIZ sur demande, et ce aux frais du fournisseur.</w:t>
      </w:r>
    </w:p>
    <w:p w14:paraId="12A4423F" w14:textId="6A36E99B" w:rsidR="003D3009" w:rsidRPr="003F202F" w:rsidRDefault="003D3009" w:rsidP="00652FBA">
      <w:pPr>
        <w:pStyle w:val="Paragraphedeliste"/>
        <w:numPr>
          <w:ilvl w:val="0"/>
          <w:numId w:val="11"/>
        </w:numPr>
        <w:spacing w:after="180"/>
        <w:ind w:left="357" w:hanging="357"/>
        <w:contextualSpacing w:val="0"/>
        <w:rPr>
          <w:b/>
          <w:bCs/>
          <w:vanish/>
          <w:sz w:val="20"/>
        </w:rPr>
      </w:pPr>
      <w:r>
        <w:rPr>
          <w:b/>
          <w:sz w:val="20"/>
        </w:rPr>
        <w:t>Dénominations et étiquetages des médicaments et autres informations les concernant</w:t>
      </w:r>
    </w:p>
    <w:p w14:paraId="428E2B07" w14:textId="1436A5EB" w:rsidR="003D3009" w:rsidRPr="00A51567" w:rsidRDefault="003D3009" w:rsidP="00BE7ECE">
      <w:pPr>
        <w:pStyle w:val="1Einrckung"/>
        <w:numPr>
          <w:ilvl w:val="1"/>
          <w:numId w:val="11"/>
        </w:numPr>
        <w:tabs>
          <w:tab w:val="clear" w:pos="567"/>
        </w:tabs>
        <w:spacing w:after="180"/>
        <w:ind w:left="357" w:hanging="357"/>
        <w:rPr>
          <w:sz w:val="20"/>
        </w:rPr>
      </w:pPr>
      <w:r>
        <w:rPr>
          <w:sz w:val="20"/>
        </w:rPr>
        <w:t>Les médicaments doivent être désignés et étiquetés conformément à la dénomination commune internationale (DCI) de l’OMS.</w:t>
      </w:r>
    </w:p>
    <w:p w14:paraId="63157FF7" w14:textId="5B6CC891" w:rsidR="003D3009" w:rsidRPr="00A51567" w:rsidRDefault="003D3009" w:rsidP="00BE7ECE">
      <w:pPr>
        <w:pStyle w:val="1Einrckung"/>
        <w:numPr>
          <w:ilvl w:val="1"/>
          <w:numId w:val="11"/>
        </w:numPr>
        <w:tabs>
          <w:tab w:val="clear" w:pos="567"/>
          <w:tab w:val="left" w:pos="2835"/>
        </w:tabs>
        <w:spacing w:after="180"/>
        <w:ind w:left="357" w:hanging="357"/>
        <w:rPr>
          <w:sz w:val="20"/>
        </w:rPr>
      </w:pPr>
      <w:r>
        <w:rPr>
          <w:sz w:val="20"/>
        </w:rPr>
        <w:t>L’étiquette doit être rédigée en</w:t>
      </w:r>
    </w:p>
    <w:p w14:paraId="4ADB23A3" w14:textId="77777777" w:rsidR="003D3009" w:rsidRPr="00A140DD" w:rsidRDefault="003D3009" w:rsidP="00E31FE2">
      <w:pPr>
        <w:pStyle w:val="1Einrckung"/>
        <w:tabs>
          <w:tab w:val="clear" w:pos="567"/>
        </w:tabs>
        <w:ind w:left="714" w:hanging="357"/>
        <w:rPr>
          <w:sz w:val="20"/>
        </w:rPr>
      </w:pPr>
      <w:r>
        <w:rPr>
          <w:rFonts w:cs="Arial"/>
          <w:b/>
          <w:sz w:val="20"/>
        </w:rPr>
        <w:fldChar w:fldCharType="begin">
          <w:ffData>
            <w:name w:val=""/>
            <w:enabled/>
            <w:calcOnExit w:val="0"/>
            <w:checkBox>
              <w:sizeAuto/>
              <w:default w:val="0"/>
            </w:checkBox>
          </w:ffData>
        </w:fldChar>
      </w:r>
      <w:r>
        <w:rPr>
          <w:rFonts w:cs="Arial"/>
          <w:b/>
          <w:sz w:val="20"/>
        </w:rPr>
        <w:instrText xml:space="preserve"> FORMCHECKBOX </w:instrText>
      </w:r>
      <w:r w:rsidR="00000000">
        <w:rPr>
          <w:rFonts w:cs="Arial"/>
          <w:b/>
          <w:sz w:val="20"/>
        </w:rPr>
      </w:r>
      <w:r w:rsidR="00000000">
        <w:rPr>
          <w:rFonts w:cs="Arial"/>
          <w:b/>
          <w:sz w:val="20"/>
        </w:rPr>
        <w:fldChar w:fldCharType="separate"/>
      </w:r>
      <w:r>
        <w:rPr>
          <w:rFonts w:cs="Arial"/>
          <w:b/>
          <w:sz w:val="20"/>
        </w:rPr>
        <w:fldChar w:fldCharType="end"/>
      </w:r>
      <w:r>
        <w:rPr>
          <w:sz w:val="20"/>
        </w:rPr>
        <w:tab/>
        <w:t>anglais</w:t>
      </w:r>
    </w:p>
    <w:p w14:paraId="53F2F62F" w14:textId="4E2DB563" w:rsidR="003D3009" w:rsidRDefault="003D3009" w:rsidP="00E31FE2">
      <w:pPr>
        <w:pStyle w:val="1Einrckung"/>
        <w:tabs>
          <w:tab w:val="clear" w:pos="567"/>
        </w:tabs>
        <w:ind w:left="714" w:hanging="357"/>
        <w:rPr>
          <w:sz w:val="20"/>
        </w:rPr>
      </w:pPr>
      <w:r w:rsidRPr="00A51567">
        <w:rPr>
          <w:rFonts w:cs="Arial"/>
          <w:sz w:val="20"/>
        </w:rPr>
        <w:fldChar w:fldCharType="begin">
          <w:ffData>
            <w:name w:val=""/>
            <w:enabled/>
            <w:calcOnExit w:val="0"/>
            <w:checkBox>
              <w:sizeAuto/>
              <w:default w:val="0"/>
              <w:checked/>
            </w:checkBox>
          </w:ffData>
        </w:fldChar>
      </w:r>
      <w:r w:rsidRPr="00A51567">
        <w:rPr>
          <w:rFonts w:cs="Arial"/>
          <w:sz w:val="20"/>
        </w:rPr>
        <w:instrText xml:space="preserve"> FORMCHECKBOX </w:instrText>
      </w:r>
      <w:r w:rsidR="00E45BF2" w:rsidRPr="00A51567">
        <w:rPr>
          <w:rFonts w:cs="Arial"/>
          <w:sz w:val="20"/>
        </w:rPr>
      </w:r>
      <w:r w:rsidR="00000000">
        <w:rPr>
          <w:rFonts w:cs="Arial"/>
          <w:sz w:val="20"/>
        </w:rPr>
        <w:fldChar w:fldCharType="separate"/>
      </w:r>
      <w:r w:rsidRPr="00A51567">
        <w:rPr>
          <w:rFonts w:cs="Arial"/>
          <w:sz w:val="20"/>
        </w:rPr>
        <w:fldChar w:fldCharType="end"/>
      </w:r>
      <w:r>
        <w:rPr>
          <w:sz w:val="20"/>
        </w:rPr>
        <w:tab/>
        <w:t>français</w:t>
      </w:r>
    </w:p>
    <w:p w14:paraId="2ADB5E57" w14:textId="77777777" w:rsidR="003D3009" w:rsidRDefault="003D3009" w:rsidP="00E31FE2">
      <w:pPr>
        <w:pStyle w:val="1Einrckung"/>
        <w:tabs>
          <w:tab w:val="clear" w:pos="567"/>
        </w:tabs>
        <w:ind w:left="714" w:hanging="357"/>
        <w:rPr>
          <w:sz w:val="20"/>
        </w:rPr>
      </w:pPr>
      <w:r w:rsidRPr="00A51567">
        <w:rPr>
          <w:rFonts w:cs="Arial"/>
          <w:sz w:val="20"/>
        </w:rPr>
        <w:fldChar w:fldCharType="begin">
          <w:ffData>
            <w:name w:val=""/>
            <w:enabled/>
            <w:calcOnExit w:val="0"/>
            <w:checkBox>
              <w:sizeAuto/>
              <w:default w:val="0"/>
              <w:checked w:val="0"/>
            </w:checkBox>
          </w:ffData>
        </w:fldChar>
      </w:r>
      <w:r w:rsidRPr="00A51567">
        <w:rPr>
          <w:rFonts w:cs="Arial"/>
          <w:sz w:val="20"/>
        </w:rPr>
        <w:instrText xml:space="preserve"> FORMCHECKBOX </w:instrText>
      </w:r>
      <w:r w:rsidR="00000000">
        <w:rPr>
          <w:rFonts w:cs="Arial"/>
          <w:sz w:val="20"/>
        </w:rPr>
      </w:r>
      <w:r w:rsidR="00000000">
        <w:rPr>
          <w:rFonts w:cs="Arial"/>
          <w:sz w:val="20"/>
        </w:rPr>
        <w:fldChar w:fldCharType="separate"/>
      </w:r>
      <w:r w:rsidRPr="00A51567">
        <w:rPr>
          <w:rFonts w:cs="Arial"/>
          <w:sz w:val="20"/>
        </w:rPr>
        <w:fldChar w:fldCharType="end"/>
      </w:r>
      <w:r>
        <w:rPr>
          <w:sz w:val="20"/>
        </w:rPr>
        <w:tab/>
        <w:t>allemand</w:t>
      </w:r>
    </w:p>
    <w:p w14:paraId="3CBEED59" w14:textId="77777777" w:rsidR="003D3009" w:rsidRDefault="003D3009" w:rsidP="00E31FE2">
      <w:pPr>
        <w:pStyle w:val="1Einrckung"/>
        <w:tabs>
          <w:tab w:val="clear" w:pos="567"/>
        </w:tabs>
        <w:ind w:left="714" w:hanging="357"/>
        <w:rPr>
          <w:sz w:val="20"/>
        </w:rPr>
      </w:pPr>
      <w:r w:rsidRPr="00A51567">
        <w:rPr>
          <w:rFonts w:cs="Arial"/>
          <w:sz w:val="20"/>
        </w:rPr>
        <w:fldChar w:fldCharType="begin">
          <w:ffData>
            <w:name w:val=""/>
            <w:enabled/>
            <w:calcOnExit w:val="0"/>
            <w:checkBox>
              <w:sizeAuto/>
              <w:default w:val="0"/>
              <w:checked w:val="0"/>
            </w:checkBox>
          </w:ffData>
        </w:fldChar>
      </w:r>
      <w:r w:rsidRPr="00A51567">
        <w:rPr>
          <w:rFonts w:cs="Arial"/>
          <w:sz w:val="20"/>
        </w:rPr>
        <w:instrText xml:space="preserve"> FORMCHECKBOX </w:instrText>
      </w:r>
      <w:r w:rsidR="00000000">
        <w:rPr>
          <w:rFonts w:cs="Arial"/>
          <w:sz w:val="20"/>
        </w:rPr>
      </w:r>
      <w:r w:rsidR="00000000">
        <w:rPr>
          <w:rFonts w:cs="Arial"/>
          <w:sz w:val="20"/>
        </w:rPr>
        <w:fldChar w:fldCharType="separate"/>
      </w:r>
      <w:r w:rsidRPr="00A51567">
        <w:rPr>
          <w:rFonts w:cs="Arial"/>
          <w:sz w:val="20"/>
        </w:rPr>
        <w:fldChar w:fldCharType="end"/>
      </w:r>
      <w:r>
        <w:rPr>
          <w:sz w:val="20"/>
        </w:rPr>
        <w:tab/>
        <w:t>espagnol</w:t>
      </w:r>
    </w:p>
    <w:bookmarkStart w:id="1" w:name="_Hlk164273655"/>
    <w:p w14:paraId="03A43C96" w14:textId="04A90BD7" w:rsidR="003D3009" w:rsidRDefault="003D3009" w:rsidP="00E31FE2">
      <w:pPr>
        <w:pStyle w:val="1Einrckung"/>
        <w:tabs>
          <w:tab w:val="clear" w:pos="567"/>
        </w:tabs>
        <w:spacing w:after="240"/>
        <w:ind w:left="714" w:hanging="357"/>
        <w:rPr>
          <w:sz w:val="20"/>
        </w:rPr>
      </w:pPr>
      <w:r w:rsidRPr="00A51567">
        <w:rPr>
          <w:rFonts w:cs="Arial"/>
          <w:sz w:val="20"/>
        </w:rPr>
        <w:fldChar w:fldCharType="begin">
          <w:ffData>
            <w:name w:val=""/>
            <w:enabled/>
            <w:calcOnExit w:val="0"/>
            <w:checkBox>
              <w:sizeAuto/>
              <w:default w:val="0"/>
              <w:checked w:val="0"/>
            </w:checkBox>
          </w:ffData>
        </w:fldChar>
      </w:r>
      <w:r w:rsidRPr="00A51567">
        <w:rPr>
          <w:rFonts w:cs="Arial"/>
          <w:sz w:val="20"/>
        </w:rPr>
        <w:instrText xml:space="preserve"> FORMCHECKBOX </w:instrText>
      </w:r>
      <w:r w:rsidR="00000000">
        <w:rPr>
          <w:rFonts w:cs="Arial"/>
          <w:sz w:val="20"/>
        </w:rPr>
      </w:r>
      <w:r w:rsidR="00000000">
        <w:rPr>
          <w:rFonts w:cs="Arial"/>
          <w:sz w:val="20"/>
        </w:rPr>
        <w:fldChar w:fldCharType="separate"/>
      </w:r>
      <w:r w:rsidRPr="00A51567">
        <w:rPr>
          <w:rFonts w:cs="Arial"/>
          <w:sz w:val="20"/>
        </w:rPr>
        <w:fldChar w:fldCharType="end"/>
      </w:r>
      <w:r>
        <w:rPr>
          <w:sz w:val="20"/>
        </w:rPr>
        <w:tab/>
      </w:r>
      <w:r w:rsidRPr="003144D7">
        <w:rPr>
          <w:sz w:val="20"/>
          <w:highlight w:val="lightGray"/>
        </w:rPr>
        <w:fldChar w:fldCharType="begin" w:fldLock="1">
          <w:ffData>
            <w:name w:val=""/>
            <w:enabled/>
            <w:calcOnExit w:val="0"/>
            <w:textInput/>
          </w:ffData>
        </w:fldChar>
      </w:r>
      <w:r w:rsidRPr="003144D7">
        <w:rPr>
          <w:sz w:val="20"/>
          <w:highlight w:val="lightGray"/>
        </w:rPr>
        <w:instrText xml:space="preserve"> FORMTEXT </w:instrText>
      </w:r>
      <w:r w:rsidRPr="003144D7">
        <w:rPr>
          <w:sz w:val="20"/>
          <w:highlight w:val="lightGray"/>
        </w:rPr>
      </w:r>
      <w:r w:rsidRPr="003144D7">
        <w:rPr>
          <w:sz w:val="20"/>
          <w:highlight w:val="lightGray"/>
        </w:rPr>
        <w:fldChar w:fldCharType="separate"/>
      </w:r>
      <w:r>
        <w:rPr>
          <w:sz w:val="20"/>
          <w:highlight w:val="lightGray"/>
        </w:rPr>
        <w:t>     </w:t>
      </w:r>
      <w:r w:rsidRPr="003144D7">
        <w:rPr>
          <w:sz w:val="20"/>
          <w:highlight w:val="lightGray"/>
        </w:rPr>
        <w:fldChar w:fldCharType="end"/>
      </w:r>
    </w:p>
    <w:bookmarkEnd w:id="1"/>
    <w:p w14:paraId="1175FECB" w14:textId="77777777" w:rsidR="003D3009" w:rsidRPr="00A51567" w:rsidRDefault="003D3009" w:rsidP="007D7476">
      <w:pPr>
        <w:pStyle w:val="1Einrckung"/>
        <w:spacing w:after="180"/>
        <w:ind w:left="357" w:firstLine="0"/>
        <w:rPr>
          <w:b/>
          <w:bCs/>
          <w:sz w:val="20"/>
        </w:rPr>
      </w:pPr>
      <w:r>
        <w:rPr>
          <w:b/>
          <w:sz w:val="20"/>
        </w:rPr>
        <w:lastRenderedPageBreak/>
        <w:t>Informations minimales :</w:t>
      </w:r>
    </w:p>
    <w:p w14:paraId="76BC6764" w14:textId="77574F8B"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Nom/raison sociale et adresse de l’entreprise pharmaceutique</w:t>
      </w:r>
    </w:p>
    <w:p w14:paraId="34D769A1" w14:textId="6B9384C6"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DCI</w:t>
      </w:r>
    </w:p>
    <w:p w14:paraId="46FC1A88" w14:textId="155994BF"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Numéro d’AMM</w:t>
      </w:r>
    </w:p>
    <w:p w14:paraId="5092B377" w14:textId="28AC1DC2"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Désignation du/des lots ou date de fabrication si le produit n’est pas fabriqué par lots</w:t>
      </w:r>
    </w:p>
    <w:p w14:paraId="26FBB0D4" w14:textId="77777777"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Forme galénique</w:t>
      </w:r>
    </w:p>
    <w:p w14:paraId="20BB6B44" w14:textId="6DFE620E"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Contenu exprimé en poids, en volume ou en nombre d’unités</w:t>
      </w:r>
    </w:p>
    <w:p w14:paraId="510ED6A9" w14:textId="5304B755"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Mode d’administration</w:t>
      </w:r>
    </w:p>
    <w:p w14:paraId="414DEBC2" w14:textId="77777777" w:rsidR="003D3009" w:rsidRDefault="003D3009" w:rsidP="003D3009">
      <w:pPr>
        <w:pStyle w:val="3Einrckung"/>
        <w:numPr>
          <w:ilvl w:val="0"/>
          <w:numId w:val="12"/>
        </w:numPr>
        <w:tabs>
          <w:tab w:val="clear" w:pos="567"/>
          <w:tab w:val="clear" w:pos="1134"/>
          <w:tab w:val="clear" w:pos="1701"/>
        </w:tabs>
        <w:ind w:left="714" w:hanging="357"/>
        <w:rPr>
          <w:sz w:val="20"/>
        </w:rPr>
      </w:pPr>
      <w:r>
        <w:rPr>
          <w:sz w:val="20"/>
        </w:rPr>
        <w:t>Date de péremption</w:t>
      </w:r>
    </w:p>
    <w:p w14:paraId="655A4D90" w14:textId="77777777" w:rsidR="003D3009" w:rsidRDefault="003D3009" w:rsidP="003D3009">
      <w:pPr>
        <w:pStyle w:val="3Einrckung"/>
        <w:numPr>
          <w:ilvl w:val="0"/>
          <w:numId w:val="12"/>
        </w:numPr>
        <w:tabs>
          <w:tab w:val="clear" w:pos="567"/>
          <w:tab w:val="clear" w:pos="1134"/>
          <w:tab w:val="clear" w:pos="1701"/>
        </w:tabs>
        <w:spacing w:after="240"/>
        <w:ind w:left="714" w:hanging="357"/>
        <w:rPr>
          <w:sz w:val="20"/>
        </w:rPr>
      </w:pPr>
      <w:r>
        <w:rPr>
          <w:sz w:val="20"/>
        </w:rPr>
        <w:t>Le cas échéant : mises en garde, modalités de conservation et de stockage</w:t>
      </w:r>
    </w:p>
    <w:p w14:paraId="545E7038" w14:textId="76FA28A5" w:rsidR="003D3009" w:rsidRPr="00A51567" w:rsidRDefault="003D3009" w:rsidP="003D3009">
      <w:pPr>
        <w:pStyle w:val="1Einrckung"/>
        <w:numPr>
          <w:ilvl w:val="1"/>
          <w:numId w:val="11"/>
        </w:numPr>
        <w:tabs>
          <w:tab w:val="clear" w:pos="567"/>
        </w:tabs>
        <w:spacing w:after="240"/>
        <w:ind w:left="357" w:hanging="357"/>
        <w:rPr>
          <w:b/>
          <w:bCs/>
          <w:sz w:val="20"/>
        </w:rPr>
      </w:pPr>
      <w:r>
        <w:rPr>
          <w:sz w:val="20"/>
        </w:rPr>
        <w:t>L’étiquette doit indiquer la qualité donnée des substances utilisées dans la fabrication des médicaments ou celle du produit fini (par exemple Pharmacopée européenne (Ph. Eur.), The British Pharmacopoeia (BP) ou U.S. Pharmacopeia (USP)). Il convient de se référer à la version la plus récente de la pharmacopée en question.</w:t>
      </w:r>
    </w:p>
    <w:p w14:paraId="4603E531" w14:textId="77777777" w:rsidR="003D3009" w:rsidRPr="00DC7015" w:rsidRDefault="003D3009" w:rsidP="00652FBA">
      <w:pPr>
        <w:pStyle w:val="1Einrckung"/>
        <w:numPr>
          <w:ilvl w:val="1"/>
          <w:numId w:val="11"/>
        </w:numPr>
        <w:tabs>
          <w:tab w:val="clear" w:pos="567"/>
        </w:tabs>
        <w:spacing w:after="180"/>
        <w:ind w:left="357" w:hanging="357"/>
        <w:rPr>
          <w:b/>
          <w:bCs/>
          <w:sz w:val="20"/>
        </w:rPr>
      </w:pPr>
      <w:r>
        <w:rPr>
          <w:sz w:val="20"/>
        </w:rPr>
        <w:t>Une information détaillée sur le produit est jointe à chaque contenant en</w:t>
      </w:r>
    </w:p>
    <w:p w14:paraId="1E7C6244" w14:textId="77777777" w:rsidR="003D3009" w:rsidRPr="00A140DD" w:rsidRDefault="003D3009" w:rsidP="00E31FE2">
      <w:pPr>
        <w:pStyle w:val="1Einrckung"/>
        <w:tabs>
          <w:tab w:val="clear" w:pos="567"/>
        </w:tabs>
        <w:ind w:left="714" w:hanging="357"/>
        <w:rPr>
          <w:sz w:val="20"/>
        </w:rPr>
      </w:pPr>
      <w:r>
        <w:rPr>
          <w:rFonts w:cs="Arial"/>
          <w:b/>
          <w:sz w:val="20"/>
        </w:rPr>
        <w:fldChar w:fldCharType="begin">
          <w:ffData>
            <w:name w:val=""/>
            <w:enabled/>
            <w:calcOnExit w:val="0"/>
            <w:checkBox>
              <w:sizeAuto/>
              <w:default w:val="0"/>
            </w:checkBox>
          </w:ffData>
        </w:fldChar>
      </w:r>
      <w:r>
        <w:rPr>
          <w:rFonts w:cs="Arial"/>
          <w:b/>
          <w:sz w:val="20"/>
        </w:rPr>
        <w:instrText xml:space="preserve"> FORMCHECKBOX </w:instrText>
      </w:r>
      <w:r w:rsidR="00000000">
        <w:rPr>
          <w:rFonts w:cs="Arial"/>
          <w:b/>
          <w:sz w:val="20"/>
        </w:rPr>
      </w:r>
      <w:r w:rsidR="00000000">
        <w:rPr>
          <w:rFonts w:cs="Arial"/>
          <w:b/>
          <w:sz w:val="20"/>
        </w:rPr>
        <w:fldChar w:fldCharType="separate"/>
      </w:r>
      <w:r>
        <w:rPr>
          <w:rFonts w:cs="Arial"/>
          <w:b/>
          <w:sz w:val="20"/>
        </w:rPr>
        <w:fldChar w:fldCharType="end"/>
      </w:r>
      <w:r>
        <w:rPr>
          <w:sz w:val="20"/>
        </w:rPr>
        <w:tab/>
        <w:t>anglais</w:t>
      </w:r>
    </w:p>
    <w:p w14:paraId="24D29FE6" w14:textId="4AF57E7A" w:rsidR="003D3009" w:rsidRDefault="003D3009" w:rsidP="00E31FE2">
      <w:pPr>
        <w:pStyle w:val="1Einrckung"/>
        <w:tabs>
          <w:tab w:val="clear" w:pos="567"/>
        </w:tabs>
        <w:ind w:left="714" w:hanging="357"/>
        <w:rPr>
          <w:sz w:val="20"/>
        </w:rPr>
      </w:pPr>
      <w:r w:rsidRPr="00DC7015">
        <w:rPr>
          <w:sz w:val="20"/>
        </w:rPr>
        <w:fldChar w:fldCharType="begin">
          <w:ffData>
            <w:name w:val=""/>
            <w:enabled/>
            <w:calcOnExit w:val="0"/>
            <w:checkBox>
              <w:sizeAuto/>
              <w:default w:val="0"/>
              <w:checked/>
            </w:checkBox>
          </w:ffData>
        </w:fldChar>
      </w:r>
      <w:r w:rsidRPr="00DC7015">
        <w:rPr>
          <w:sz w:val="20"/>
        </w:rPr>
        <w:instrText xml:space="preserve"> FORMCHECKBOX </w:instrText>
      </w:r>
      <w:r w:rsidR="00E45BF2" w:rsidRPr="00DC7015">
        <w:rPr>
          <w:sz w:val="20"/>
        </w:rPr>
      </w:r>
      <w:r w:rsidR="00000000">
        <w:rPr>
          <w:sz w:val="20"/>
        </w:rPr>
        <w:fldChar w:fldCharType="separate"/>
      </w:r>
      <w:r w:rsidRPr="00DC7015">
        <w:rPr>
          <w:sz w:val="20"/>
        </w:rPr>
        <w:fldChar w:fldCharType="end"/>
      </w:r>
      <w:r>
        <w:rPr>
          <w:sz w:val="20"/>
        </w:rPr>
        <w:tab/>
        <w:t>français</w:t>
      </w:r>
    </w:p>
    <w:p w14:paraId="3F4D0230" w14:textId="77777777" w:rsidR="003D3009" w:rsidRDefault="003D3009" w:rsidP="00E31FE2">
      <w:pPr>
        <w:pStyle w:val="1Einrckung"/>
        <w:tabs>
          <w:tab w:val="clear" w:pos="567"/>
        </w:tabs>
        <w:ind w:left="714" w:hanging="357"/>
        <w:rPr>
          <w:sz w:val="20"/>
        </w:rPr>
      </w:pPr>
      <w:r w:rsidRPr="00DC7015">
        <w:rPr>
          <w:sz w:val="20"/>
        </w:rPr>
        <w:fldChar w:fldCharType="begin">
          <w:ffData>
            <w:name w:val=""/>
            <w:enabled/>
            <w:calcOnExit w:val="0"/>
            <w:checkBox>
              <w:sizeAuto/>
              <w:default w:val="0"/>
              <w:checked w:val="0"/>
            </w:checkBox>
          </w:ffData>
        </w:fldChar>
      </w:r>
      <w:r w:rsidRPr="00DC7015">
        <w:rPr>
          <w:sz w:val="20"/>
        </w:rPr>
        <w:instrText xml:space="preserve"> FORMCHECKBOX </w:instrText>
      </w:r>
      <w:r w:rsidR="00000000">
        <w:rPr>
          <w:sz w:val="20"/>
        </w:rPr>
      </w:r>
      <w:r w:rsidR="00000000">
        <w:rPr>
          <w:sz w:val="20"/>
        </w:rPr>
        <w:fldChar w:fldCharType="separate"/>
      </w:r>
      <w:r w:rsidRPr="00DC7015">
        <w:rPr>
          <w:sz w:val="20"/>
        </w:rPr>
        <w:fldChar w:fldCharType="end"/>
      </w:r>
      <w:r>
        <w:rPr>
          <w:sz w:val="20"/>
        </w:rPr>
        <w:tab/>
        <w:t>allemand</w:t>
      </w:r>
    </w:p>
    <w:p w14:paraId="0859B7CB" w14:textId="77777777" w:rsidR="003D3009" w:rsidRDefault="003D3009" w:rsidP="00E31FE2">
      <w:pPr>
        <w:pStyle w:val="1Einrckung"/>
        <w:tabs>
          <w:tab w:val="clear" w:pos="567"/>
        </w:tabs>
        <w:ind w:left="714" w:hanging="357"/>
        <w:rPr>
          <w:sz w:val="20"/>
        </w:rPr>
      </w:pPr>
      <w:r w:rsidRPr="00DC7015">
        <w:rPr>
          <w:sz w:val="20"/>
        </w:rPr>
        <w:fldChar w:fldCharType="begin">
          <w:ffData>
            <w:name w:val=""/>
            <w:enabled/>
            <w:calcOnExit w:val="0"/>
            <w:checkBox>
              <w:sizeAuto/>
              <w:default w:val="0"/>
              <w:checked w:val="0"/>
            </w:checkBox>
          </w:ffData>
        </w:fldChar>
      </w:r>
      <w:r w:rsidRPr="00DC7015">
        <w:rPr>
          <w:sz w:val="20"/>
        </w:rPr>
        <w:instrText xml:space="preserve"> FORMCHECKBOX </w:instrText>
      </w:r>
      <w:r w:rsidR="00000000">
        <w:rPr>
          <w:sz w:val="20"/>
        </w:rPr>
      </w:r>
      <w:r w:rsidR="00000000">
        <w:rPr>
          <w:sz w:val="20"/>
        </w:rPr>
        <w:fldChar w:fldCharType="separate"/>
      </w:r>
      <w:r w:rsidRPr="00DC7015">
        <w:rPr>
          <w:sz w:val="20"/>
        </w:rPr>
        <w:fldChar w:fldCharType="end"/>
      </w:r>
      <w:r>
        <w:rPr>
          <w:sz w:val="20"/>
        </w:rPr>
        <w:tab/>
        <w:t>espagnol</w:t>
      </w:r>
    </w:p>
    <w:p w14:paraId="74EC9DBE" w14:textId="711B9E9F" w:rsidR="003D3009" w:rsidRDefault="003D3009" w:rsidP="00E31FE2">
      <w:pPr>
        <w:pStyle w:val="1Einrckung"/>
        <w:tabs>
          <w:tab w:val="clear" w:pos="567"/>
        </w:tabs>
        <w:spacing w:after="240"/>
        <w:ind w:left="714" w:hanging="357"/>
        <w:rPr>
          <w:sz w:val="20"/>
        </w:rPr>
      </w:pPr>
      <w:r w:rsidRPr="00DC7015">
        <w:rPr>
          <w:sz w:val="20"/>
        </w:rPr>
        <w:fldChar w:fldCharType="begin">
          <w:ffData>
            <w:name w:val=""/>
            <w:enabled/>
            <w:calcOnExit w:val="0"/>
            <w:checkBox>
              <w:sizeAuto/>
              <w:default w:val="0"/>
              <w:checked w:val="0"/>
            </w:checkBox>
          </w:ffData>
        </w:fldChar>
      </w:r>
      <w:r w:rsidRPr="00DC7015">
        <w:rPr>
          <w:sz w:val="20"/>
        </w:rPr>
        <w:instrText xml:space="preserve"> FORMCHECKBOX </w:instrText>
      </w:r>
      <w:r w:rsidR="00000000">
        <w:rPr>
          <w:sz w:val="20"/>
        </w:rPr>
      </w:r>
      <w:r w:rsidR="00000000">
        <w:rPr>
          <w:sz w:val="20"/>
        </w:rPr>
        <w:fldChar w:fldCharType="separate"/>
      </w:r>
      <w:r w:rsidRPr="00DC7015">
        <w:rPr>
          <w:sz w:val="20"/>
        </w:rPr>
        <w:fldChar w:fldCharType="end"/>
      </w:r>
      <w:r>
        <w:rPr>
          <w:sz w:val="20"/>
        </w:rPr>
        <w:tab/>
      </w:r>
      <w:r w:rsidRPr="003144D7">
        <w:rPr>
          <w:sz w:val="20"/>
          <w:highlight w:val="lightGray"/>
        </w:rPr>
        <w:fldChar w:fldCharType="begin" w:fldLock="1">
          <w:ffData>
            <w:name w:val=""/>
            <w:enabled/>
            <w:calcOnExit w:val="0"/>
            <w:textInput/>
          </w:ffData>
        </w:fldChar>
      </w:r>
      <w:r w:rsidRPr="003144D7">
        <w:rPr>
          <w:sz w:val="20"/>
          <w:highlight w:val="lightGray"/>
        </w:rPr>
        <w:instrText xml:space="preserve"> FORMTEXT </w:instrText>
      </w:r>
      <w:r w:rsidRPr="003144D7">
        <w:rPr>
          <w:sz w:val="20"/>
          <w:highlight w:val="lightGray"/>
        </w:rPr>
      </w:r>
      <w:r w:rsidRPr="003144D7">
        <w:rPr>
          <w:sz w:val="20"/>
          <w:highlight w:val="lightGray"/>
        </w:rPr>
        <w:fldChar w:fldCharType="separate"/>
      </w:r>
      <w:r>
        <w:rPr>
          <w:sz w:val="20"/>
          <w:highlight w:val="lightGray"/>
        </w:rPr>
        <w:t>     </w:t>
      </w:r>
      <w:r w:rsidRPr="003144D7">
        <w:rPr>
          <w:sz w:val="20"/>
          <w:highlight w:val="lightGray"/>
        </w:rPr>
        <w:fldChar w:fldCharType="end"/>
      </w:r>
    </w:p>
    <w:p w14:paraId="346C684D" w14:textId="77777777" w:rsidR="003D3009" w:rsidRPr="00DC7015" w:rsidRDefault="003D3009" w:rsidP="00652FBA">
      <w:pPr>
        <w:pStyle w:val="Paragraphedeliste"/>
        <w:numPr>
          <w:ilvl w:val="0"/>
          <w:numId w:val="11"/>
        </w:numPr>
        <w:spacing w:after="180"/>
        <w:ind w:left="357" w:hanging="357"/>
        <w:contextualSpacing w:val="0"/>
        <w:rPr>
          <w:vanish/>
          <w:sz w:val="20"/>
        </w:rPr>
      </w:pPr>
      <w:r>
        <w:rPr>
          <w:b/>
          <w:sz w:val="20"/>
        </w:rPr>
        <w:t>Durée de conservation</w:t>
      </w:r>
    </w:p>
    <w:p w14:paraId="3DEA2990" w14:textId="28E43D5A" w:rsidR="003D3009" w:rsidRDefault="003D3009" w:rsidP="00BE7ECE">
      <w:pPr>
        <w:pStyle w:val="1Einrckung"/>
        <w:numPr>
          <w:ilvl w:val="1"/>
          <w:numId w:val="11"/>
        </w:numPr>
        <w:tabs>
          <w:tab w:val="clear" w:pos="567"/>
        </w:tabs>
        <w:spacing w:after="180"/>
        <w:ind w:left="357" w:hanging="357"/>
        <w:rPr>
          <w:sz w:val="20"/>
        </w:rPr>
      </w:pPr>
      <w:r>
        <w:rPr>
          <w:sz w:val="20"/>
        </w:rPr>
        <w:t>Au moment de l’expédition, la durée de conservation restante des médicaments proposés ne doit pas être inférieure aux trois quarts de leur durée de conservation totale.</w:t>
      </w:r>
    </w:p>
    <w:p w14:paraId="5B49601D" w14:textId="1EE21CC7" w:rsidR="003D3009" w:rsidRDefault="003D3009" w:rsidP="00BE7ECE">
      <w:pPr>
        <w:pStyle w:val="1Einrckung"/>
        <w:numPr>
          <w:ilvl w:val="1"/>
          <w:numId w:val="11"/>
        </w:numPr>
        <w:tabs>
          <w:tab w:val="clear" w:pos="567"/>
        </w:tabs>
        <w:spacing w:after="180"/>
        <w:ind w:left="357" w:hanging="357"/>
        <w:rPr>
          <w:sz w:val="20"/>
        </w:rPr>
      </w:pPr>
      <w:r>
        <w:rPr>
          <w:sz w:val="20"/>
        </w:rPr>
        <w:t>Les produits doivent être stables à 25° C jusqu’à la date de péremption indiquée.</w:t>
      </w:r>
    </w:p>
    <w:p w14:paraId="28F91A78" w14:textId="65DBA80E" w:rsidR="003D3009" w:rsidRDefault="003D3009" w:rsidP="003D3009">
      <w:pPr>
        <w:pStyle w:val="1Einrckung"/>
        <w:numPr>
          <w:ilvl w:val="1"/>
          <w:numId w:val="11"/>
        </w:numPr>
        <w:tabs>
          <w:tab w:val="clear" w:pos="567"/>
        </w:tabs>
        <w:spacing w:after="240"/>
        <w:ind w:left="357" w:hanging="357"/>
        <w:rPr>
          <w:sz w:val="20"/>
        </w:rPr>
      </w:pPr>
      <w:r>
        <w:rPr>
          <w:sz w:val="20"/>
        </w:rPr>
        <w:t>Si un ou plusieurs postes de l’offre ne peuvent pas être stockés dans des conditions tropicales (humidité élevée, températures élevées) ou si la durée de conservation restante est inférieure à celle indiquée au point 3.1, le fournisseur est tenu de le mentionner dans l’offre.</w:t>
      </w:r>
    </w:p>
    <w:p w14:paraId="77793094" w14:textId="77777777" w:rsidR="003D3009" w:rsidRPr="00DC7015" w:rsidRDefault="003D3009" w:rsidP="00652FBA">
      <w:pPr>
        <w:pStyle w:val="Paragraphedeliste"/>
        <w:numPr>
          <w:ilvl w:val="0"/>
          <w:numId w:val="11"/>
        </w:numPr>
        <w:spacing w:after="180"/>
        <w:ind w:left="357" w:hanging="357"/>
        <w:contextualSpacing w:val="0"/>
        <w:rPr>
          <w:b/>
          <w:sz w:val="20"/>
        </w:rPr>
      </w:pPr>
      <w:r>
        <w:rPr>
          <w:b/>
          <w:sz w:val="20"/>
        </w:rPr>
        <w:t>Conditionnement des médicaments</w:t>
      </w:r>
    </w:p>
    <w:p w14:paraId="7F498670" w14:textId="2EF644DE" w:rsidR="003D3009" w:rsidRDefault="003D3009" w:rsidP="00BE7ECE">
      <w:pPr>
        <w:pStyle w:val="1Einrckung"/>
        <w:numPr>
          <w:ilvl w:val="1"/>
          <w:numId w:val="11"/>
        </w:numPr>
        <w:tabs>
          <w:tab w:val="clear" w:pos="567"/>
        </w:tabs>
        <w:spacing w:after="180"/>
        <w:ind w:left="357" w:hanging="357"/>
        <w:rPr>
          <w:sz w:val="20"/>
        </w:rPr>
      </w:pPr>
      <w:r>
        <w:rPr>
          <w:sz w:val="20"/>
        </w:rPr>
        <w:t>Les comprimés, dragées et gélules doivent être conditionnés dans des flacons en polyéthylène rigide scellés les protégeant de la lumière, ou dans des boîtes en fer blanc ou en aluminium avec des sachets en polyéthylène ou dans des récipients similaires, sauf indication contraire.</w:t>
      </w:r>
    </w:p>
    <w:p w14:paraId="42B76D73" w14:textId="38BCD3C3" w:rsidR="003D3009" w:rsidRDefault="003D3009" w:rsidP="00BE7ECE">
      <w:pPr>
        <w:pStyle w:val="1Einrckung"/>
        <w:numPr>
          <w:ilvl w:val="1"/>
          <w:numId w:val="11"/>
        </w:numPr>
        <w:tabs>
          <w:tab w:val="clear" w:pos="567"/>
        </w:tabs>
        <w:spacing w:after="180"/>
        <w:ind w:left="357" w:hanging="357"/>
        <w:rPr>
          <w:sz w:val="20"/>
        </w:rPr>
      </w:pPr>
      <w:r>
        <w:rPr>
          <w:sz w:val="20"/>
        </w:rPr>
        <w:t>Les récipients doivent contenir des sachets déshydratants (si cela est nécessaire pour le produit) et doivent pouvoir être fermés hermétiquement même après avoir été ouverts. Les éventuels espaces vides dans les contenants doivent être entièrement remplis par une garniture en mousse de caoutchouc.</w:t>
      </w:r>
    </w:p>
    <w:p w14:paraId="11EEAAE0" w14:textId="2B7F1023" w:rsidR="003D3009" w:rsidRDefault="003D3009" w:rsidP="003D3009">
      <w:pPr>
        <w:pStyle w:val="1Einrckung"/>
        <w:numPr>
          <w:ilvl w:val="1"/>
          <w:numId w:val="11"/>
        </w:numPr>
        <w:tabs>
          <w:tab w:val="clear" w:pos="567"/>
        </w:tabs>
        <w:spacing w:after="240"/>
        <w:ind w:left="357" w:hanging="357"/>
        <w:rPr>
          <w:sz w:val="20"/>
        </w:rPr>
      </w:pPr>
      <w:r>
        <w:rPr>
          <w:sz w:val="20"/>
        </w:rPr>
        <w:t>Les médicaments liquides (ampoules, sirops) sont livrés dans des conditionnements commerciaux standard, sauf exigence particulière stipulée dans l’appel d’offres. L’emballage doit être conforme aux conditionnements en usage dans le pays d’utilisation.</w:t>
      </w:r>
    </w:p>
    <w:p w14:paraId="0C1DFB8A" w14:textId="77777777" w:rsidR="003D3009" w:rsidRDefault="003D3009" w:rsidP="00652FBA">
      <w:pPr>
        <w:pStyle w:val="Paragraphedeliste"/>
        <w:numPr>
          <w:ilvl w:val="0"/>
          <w:numId w:val="11"/>
        </w:numPr>
        <w:spacing w:after="180"/>
        <w:ind w:left="357" w:hanging="357"/>
        <w:contextualSpacing w:val="0"/>
        <w:rPr>
          <w:b/>
          <w:sz w:val="20"/>
        </w:rPr>
      </w:pPr>
      <w:r>
        <w:rPr>
          <w:b/>
          <w:sz w:val="20"/>
        </w:rPr>
        <w:t>Conditions spéciales pour la fourniture de kits de médicaments</w:t>
      </w:r>
    </w:p>
    <w:p w14:paraId="75479E64" w14:textId="05EC805B" w:rsidR="003D3009" w:rsidRDefault="003D3009" w:rsidP="00BE7ECE">
      <w:pPr>
        <w:pStyle w:val="1Einrckung"/>
        <w:tabs>
          <w:tab w:val="clear" w:pos="567"/>
        </w:tabs>
        <w:spacing w:after="180"/>
        <w:ind w:left="357" w:firstLine="0"/>
        <w:rPr>
          <w:sz w:val="20"/>
        </w:rPr>
      </w:pPr>
      <w:r>
        <w:rPr>
          <w:sz w:val="20"/>
        </w:rPr>
        <w:t>Pour les livraisons en kit, les conditionnements destinés à l’exportation (cartons/caisses) ne doivent pas dépasser un poids de 40 kg par unité.</w:t>
      </w:r>
    </w:p>
    <w:p w14:paraId="57946A8C" w14:textId="1F02E7CC" w:rsidR="003D3009" w:rsidRDefault="003D3009" w:rsidP="00BE7ECE">
      <w:pPr>
        <w:pStyle w:val="1Einrckung"/>
        <w:tabs>
          <w:tab w:val="clear" w:pos="567"/>
        </w:tabs>
        <w:spacing w:after="180"/>
        <w:ind w:left="357" w:firstLine="0"/>
        <w:rPr>
          <w:sz w:val="20"/>
        </w:rPr>
      </w:pPr>
      <w:r>
        <w:rPr>
          <w:sz w:val="20"/>
        </w:rPr>
        <w:t>Chaque unité doit être accompagnée d’une liste précise et compréhensible de son contenu.</w:t>
      </w:r>
    </w:p>
    <w:p w14:paraId="4E7318F8" w14:textId="0869B118" w:rsidR="006F2F2B" w:rsidRPr="00BE7ECE" w:rsidRDefault="003D3009" w:rsidP="00BE7ECE">
      <w:pPr>
        <w:pStyle w:val="1Einrckung"/>
        <w:tabs>
          <w:tab w:val="clear" w:pos="567"/>
        </w:tabs>
        <w:spacing w:after="240"/>
        <w:ind w:left="357" w:firstLine="0"/>
        <w:rPr>
          <w:bCs/>
          <w:sz w:val="20"/>
        </w:rPr>
      </w:pPr>
      <w:r>
        <w:rPr>
          <w:sz w:val="20"/>
        </w:rPr>
        <w:t>Les unités doivent être numérotées en continu et, si nécessaire, comporter une inscription supplémentaire à définir par le client.</w:t>
      </w:r>
      <w:r w:rsidR="006F2F2B">
        <w:rPr>
          <w:b/>
          <w:sz w:val="20"/>
          <w:u w:val="single"/>
        </w:rPr>
        <w:br w:type="page"/>
      </w:r>
    </w:p>
    <w:p w14:paraId="690053B2" w14:textId="3CDD5CD0" w:rsidR="003D3009" w:rsidRDefault="003D3009" w:rsidP="003D3009">
      <w:pPr>
        <w:spacing w:after="480"/>
        <w:rPr>
          <w:b/>
          <w:sz w:val="20"/>
          <w:u w:val="single"/>
        </w:rPr>
      </w:pPr>
      <w:r>
        <w:rPr>
          <w:b/>
          <w:sz w:val="20"/>
          <w:u w:val="single"/>
        </w:rPr>
        <w:t>Annexe</w:t>
      </w:r>
    </w:p>
    <w:p w14:paraId="315AF1DA" w14:textId="4002D47A" w:rsidR="00F4723F" w:rsidRPr="003E5AD6" w:rsidRDefault="003D3009" w:rsidP="00F4723F">
      <w:pPr>
        <w:tabs>
          <w:tab w:val="left" w:pos="2268"/>
        </w:tabs>
        <w:spacing w:after="480"/>
        <w:rPr>
          <w:b/>
          <w:sz w:val="20"/>
        </w:rPr>
      </w:pPr>
      <w:r w:rsidRPr="003E5AD6">
        <w:rPr>
          <w:b/>
          <w:sz w:val="20"/>
        </w:rPr>
        <w:t>à l’offre nº</w:t>
      </w:r>
      <w:r w:rsidR="008353E5" w:rsidRPr="003E5AD6">
        <w:rPr>
          <w:b/>
          <w:sz w:val="20"/>
        </w:rPr>
        <w:tab/>
      </w:r>
      <w:r w:rsidRPr="003E5AD6">
        <w:rPr>
          <w:b/>
          <w:sz w:val="20"/>
        </w:rPr>
        <w:fldChar w:fldCharType="begin" w:fldLock="1">
          <w:ffData>
            <w:name w:val=""/>
            <w:enabled/>
            <w:calcOnExit w:val="0"/>
            <w:textInput/>
          </w:ffData>
        </w:fldChar>
      </w:r>
      <w:r w:rsidRPr="003E5AD6">
        <w:rPr>
          <w:b/>
          <w:sz w:val="20"/>
        </w:rPr>
        <w:instrText xml:space="preserve"> FORMTEXT </w:instrText>
      </w:r>
      <w:r w:rsidRPr="003E5AD6">
        <w:rPr>
          <w:b/>
          <w:sz w:val="20"/>
        </w:rPr>
      </w:r>
      <w:r w:rsidRPr="003E5AD6">
        <w:rPr>
          <w:b/>
          <w:sz w:val="20"/>
        </w:rPr>
        <w:fldChar w:fldCharType="separate"/>
      </w:r>
      <w:r w:rsidRPr="003E5AD6">
        <w:rPr>
          <w:b/>
          <w:sz w:val="20"/>
        </w:rPr>
        <w:t>     </w:t>
      </w:r>
      <w:r w:rsidRPr="003E5AD6">
        <w:rPr>
          <w:b/>
          <w:sz w:val="20"/>
        </w:rPr>
        <w:fldChar w:fldCharType="end"/>
      </w:r>
    </w:p>
    <w:p w14:paraId="74F5DC5B" w14:textId="479E337F" w:rsidR="003D3009" w:rsidRPr="006F2F2B" w:rsidRDefault="007A6448" w:rsidP="003E5AD6">
      <w:pPr>
        <w:tabs>
          <w:tab w:val="left" w:pos="2268"/>
        </w:tabs>
        <w:spacing w:after="480"/>
        <w:rPr>
          <w:b/>
          <w:sz w:val="20"/>
        </w:rPr>
      </w:pPr>
      <w:r w:rsidRPr="003E5AD6">
        <w:rPr>
          <w:b/>
          <w:sz w:val="20"/>
        </w:rPr>
        <w:t>Numéro de procédure</w:t>
      </w:r>
      <w:r w:rsidR="00466CB0" w:rsidRPr="003E5AD6">
        <w:rPr>
          <w:b/>
          <w:sz w:val="20"/>
        </w:rPr>
        <w:t> </w:t>
      </w:r>
      <w:r w:rsidRPr="003E5AD6">
        <w:rPr>
          <w:b/>
          <w:sz w:val="20"/>
        </w:rPr>
        <w:t>:</w:t>
      </w:r>
      <w:r w:rsidR="00F4723F" w:rsidRPr="003E5AD6">
        <w:rPr>
          <w:b/>
          <w:sz w:val="20"/>
        </w:rPr>
        <w:tab/>
      </w:r>
      <w:r w:rsidR="003D3009" w:rsidRPr="003E5AD6">
        <w:rPr>
          <w:b/>
          <w:sz w:val="20"/>
        </w:rPr>
        <w:fldChar w:fldCharType="begin" w:fldLock="1">
          <w:ffData>
            <w:name w:val=""/>
            <w:enabled/>
            <w:calcOnExit w:val="0"/>
            <w:textInput/>
          </w:ffData>
        </w:fldChar>
      </w:r>
      <w:r w:rsidR="003D3009" w:rsidRPr="003E5AD6">
        <w:rPr>
          <w:b/>
          <w:sz w:val="20"/>
        </w:rPr>
        <w:instrText xml:space="preserve"> FORMTEXT </w:instrText>
      </w:r>
      <w:r w:rsidR="003D3009" w:rsidRPr="003E5AD6">
        <w:rPr>
          <w:b/>
          <w:sz w:val="20"/>
        </w:rPr>
      </w:r>
      <w:r w:rsidR="003D3009" w:rsidRPr="003E5AD6">
        <w:rPr>
          <w:b/>
          <w:sz w:val="20"/>
        </w:rPr>
        <w:fldChar w:fldCharType="separate"/>
      </w:r>
      <w:r w:rsidRPr="003E5AD6">
        <w:rPr>
          <w:b/>
          <w:sz w:val="20"/>
        </w:rPr>
        <w:t>     </w:t>
      </w:r>
      <w:r w:rsidR="003D3009" w:rsidRPr="003E5AD6">
        <w:rPr>
          <w:b/>
          <w:sz w:val="20"/>
        </w:rPr>
        <w:fldChar w:fldCharType="end"/>
      </w:r>
    </w:p>
    <w:p w14:paraId="1713866C" w14:textId="352B8382" w:rsidR="003D3009" w:rsidRDefault="003D3009" w:rsidP="003D3009">
      <w:pPr>
        <w:spacing w:after="240"/>
        <w:rPr>
          <w:sz w:val="20"/>
        </w:rPr>
      </w:pPr>
      <w:r>
        <w:rPr>
          <w:sz w:val="20"/>
        </w:rPr>
        <w:t>Nous déclarons par la présente que les médicaments proposés dans notre offre ci-jointe</w:t>
      </w:r>
    </w:p>
    <w:p w14:paraId="63189E58" w14:textId="7EC3EA61" w:rsidR="003D3009" w:rsidRDefault="003D3009" w:rsidP="00BE7ECE">
      <w:pPr>
        <w:pStyle w:val="1Einrckung"/>
        <w:numPr>
          <w:ilvl w:val="0"/>
          <w:numId w:val="13"/>
        </w:numPr>
        <w:tabs>
          <w:tab w:val="clear" w:pos="567"/>
        </w:tabs>
        <w:spacing w:after="240"/>
        <w:ind w:left="357" w:hanging="357"/>
        <w:rPr>
          <w:sz w:val="20"/>
        </w:rPr>
      </w:pPr>
      <w:r>
        <w:rPr>
          <w:sz w:val="20"/>
        </w:rPr>
        <w:t>sont inoffensifs, c’est-à-dire que, selon l’état des connaissances scientifiques, il n’y a pas de raison de suspecter qu’ils ont des effets nocifs allant au-delà de ce qui est acceptable selon les connaissances de la science médicale, lorsqu’ils sont utilisés conformément aux instructions,</w:t>
      </w:r>
    </w:p>
    <w:p w14:paraId="427F9040" w14:textId="4C5C9BF9" w:rsidR="003D3009" w:rsidRDefault="003D3009" w:rsidP="00BE7ECE">
      <w:pPr>
        <w:pStyle w:val="1Einrckung"/>
        <w:numPr>
          <w:ilvl w:val="0"/>
          <w:numId w:val="13"/>
        </w:numPr>
        <w:tabs>
          <w:tab w:val="clear" w:pos="567"/>
        </w:tabs>
        <w:spacing w:after="240"/>
        <w:ind w:left="357" w:hanging="357"/>
        <w:rPr>
          <w:sz w:val="20"/>
        </w:rPr>
      </w:pPr>
      <w:r>
        <w:rPr>
          <w:sz w:val="20"/>
        </w:rPr>
        <w:t>n’ont pas été considérablement dégradés dans leur qualité du fait d’un écart par rapport aux règles pharmaceutiques reconnues,</w:t>
      </w:r>
    </w:p>
    <w:p w14:paraId="32CDD1E0" w14:textId="17D8746E" w:rsidR="003D3009" w:rsidRDefault="003D3009" w:rsidP="00BE7ECE">
      <w:pPr>
        <w:pStyle w:val="1Einrckung"/>
        <w:numPr>
          <w:ilvl w:val="0"/>
          <w:numId w:val="13"/>
        </w:numPr>
        <w:tabs>
          <w:tab w:val="clear" w:pos="567"/>
        </w:tabs>
        <w:spacing w:after="240"/>
        <w:ind w:left="357" w:hanging="357"/>
        <w:rPr>
          <w:sz w:val="20"/>
        </w:rPr>
      </w:pPr>
      <w:r>
        <w:rPr>
          <w:sz w:val="20"/>
        </w:rPr>
        <w:t>sont conformes à la pharmacopée actuellement en vigueur dans le pays où l’autorisation de mise sur le marché a été validée,</w:t>
      </w:r>
    </w:p>
    <w:p w14:paraId="1CF94410" w14:textId="71863AC2" w:rsidR="003D3009" w:rsidRDefault="003D3009" w:rsidP="00BE7ECE">
      <w:pPr>
        <w:pStyle w:val="1Einrckung"/>
        <w:numPr>
          <w:ilvl w:val="0"/>
          <w:numId w:val="13"/>
        </w:numPr>
        <w:tabs>
          <w:tab w:val="clear" w:pos="567"/>
        </w:tabs>
        <w:spacing w:after="240"/>
        <w:ind w:left="357" w:hanging="357"/>
        <w:rPr>
          <w:sz w:val="20"/>
        </w:rPr>
      </w:pPr>
      <w:r>
        <w:rPr>
          <w:sz w:val="20"/>
        </w:rPr>
        <w:t>ne font pas l’objet d’une dénomination, d’une indication ou d’une présentation trompeuses.</w:t>
      </w:r>
    </w:p>
    <w:p w14:paraId="21B4CA71" w14:textId="45891372" w:rsidR="003D3009" w:rsidRDefault="003D3009" w:rsidP="003D3009">
      <w:pPr>
        <w:spacing w:after="240"/>
        <w:rPr>
          <w:sz w:val="20"/>
        </w:rPr>
      </w:pPr>
      <w:r>
        <w:rPr>
          <w:sz w:val="20"/>
        </w:rPr>
        <w:t>Dans le cas d’une attribution du marché, nous soumettrons des copies des documents suivants à la GIZ dans les 14 jours calendaires suivant l’attribution du marché, si la GIZ ne les a pas déjà reçus :</w:t>
      </w:r>
    </w:p>
    <w:p w14:paraId="2FC72678" w14:textId="31A33E41" w:rsidR="003D3009" w:rsidRDefault="003D3009" w:rsidP="00BE7ECE">
      <w:pPr>
        <w:pStyle w:val="1Einrckung"/>
        <w:numPr>
          <w:ilvl w:val="0"/>
          <w:numId w:val="14"/>
        </w:numPr>
        <w:tabs>
          <w:tab w:val="clear" w:pos="567"/>
        </w:tabs>
        <w:spacing w:after="240"/>
        <w:ind w:left="357" w:hanging="357"/>
        <w:rPr>
          <w:sz w:val="20"/>
        </w:rPr>
      </w:pPr>
      <w:r>
        <w:rPr>
          <w:sz w:val="20"/>
        </w:rPr>
        <w:t>un certificat conforme au système de certification de l’Organisation mondiale de la santé relatif à la qualité des produits pharmaceutiques dans le commerce international (certificat BPF), attestant de l’autorisation et qui doit être encore valable à la date limite de soumission des offres, et</w:t>
      </w:r>
    </w:p>
    <w:p w14:paraId="061BA622" w14:textId="5E981416" w:rsidR="003D3009" w:rsidRDefault="003D3009" w:rsidP="00BE7ECE">
      <w:pPr>
        <w:pStyle w:val="1Einrckung"/>
        <w:numPr>
          <w:ilvl w:val="0"/>
          <w:numId w:val="14"/>
        </w:numPr>
        <w:tabs>
          <w:tab w:val="clear" w:pos="567"/>
        </w:tabs>
        <w:spacing w:after="240"/>
        <w:ind w:left="357" w:hanging="357"/>
        <w:rPr>
          <w:sz w:val="20"/>
        </w:rPr>
      </w:pPr>
      <w:r>
        <w:rPr>
          <w:sz w:val="20"/>
        </w:rPr>
        <w:t>une copie de l’autorisation de fabrication.</w:t>
      </w:r>
    </w:p>
    <w:p w14:paraId="6DC12656" w14:textId="0B476CFB" w:rsidR="003D3009" w:rsidRDefault="003D3009" w:rsidP="003D3009">
      <w:pPr>
        <w:spacing w:after="240"/>
        <w:rPr>
          <w:sz w:val="20"/>
        </w:rPr>
      </w:pPr>
      <w:r>
        <w:rPr>
          <w:sz w:val="20"/>
        </w:rPr>
        <w:t>Sur demande de la GIZ, le fournisseur doit présenter les originaux ou des copies certifiées conformes par l’émetteur ou par un notaire à la place ou en plus des copies soumises.</w:t>
      </w:r>
    </w:p>
    <w:p w14:paraId="25E8B618" w14:textId="4E2C9C9E" w:rsidR="003D3009" w:rsidRDefault="003D3009" w:rsidP="003D3009">
      <w:pPr>
        <w:spacing w:after="1440"/>
        <w:rPr>
          <w:sz w:val="20"/>
        </w:rPr>
      </w:pPr>
      <w:r>
        <w:rPr>
          <w:sz w:val="20"/>
        </w:rPr>
        <w:t>Si les documents requis ne sont pas remis à temps, la GIZ se réserve le droit d’annuler une commande déjà passée.</w:t>
      </w:r>
    </w:p>
    <w:p w14:paraId="6B9E6C24" w14:textId="77777777" w:rsidR="003D3009" w:rsidRDefault="003D3009" w:rsidP="003D3009">
      <w:pPr>
        <w:tabs>
          <w:tab w:val="left" w:pos="1701"/>
          <w:tab w:val="left" w:pos="5529"/>
        </w:tabs>
        <w:rPr>
          <w:sz w:val="20"/>
        </w:rPr>
      </w:pPr>
      <w:r>
        <w:rPr>
          <w:sz w:val="20"/>
          <w:highlight w:val="lightGray"/>
        </w:rPr>
        <w:fldChar w:fldCharType="begin" w:fldLock="1">
          <w:ffData>
            <w:name w:val=""/>
            <w:enabled/>
            <w:calcOnExit w:val="0"/>
            <w:textInput>
              <w:default w:val="............................"/>
            </w:textInput>
          </w:ffData>
        </w:fldChar>
      </w:r>
      <w:r>
        <w:rPr>
          <w:sz w:val="20"/>
          <w:highlight w:val="lightGray"/>
        </w:rPr>
        <w:instrText xml:space="preserve"> FORMTEXT </w:instrText>
      </w:r>
      <w:r>
        <w:rPr>
          <w:sz w:val="20"/>
          <w:highlight w:val="lightGray"/>
        </w:rPr>
      </w:r>
      <w:r>
        <w:rPr>
          <w:sz w:val="20"/>
          <w:highlight w:val="lightGray"/>
        </w:rPr>
        <w:fldChar w:fldCharType="separate"/>
      </w:r>
      <w:r>
        <w:rPr>
          <w:sz w:val="20"/>
          <w:highlight w:val="lightGray"/>
        </w:rPr>
        <w:t>............................</w:t>
      </w:r>
      <w:r>
        <w:rPr>
          <w:sz w:val="20"/>
          <w:highlight w:val="lightGray"/>
        </w:rPr>
        <w:fldChar w:fldCharType="end"/>
      </w:r>
      <w:r>
        <w:rPr>
          <w:sz w:val="20"/>
        </w:rPr>
        <w:t>,</w:t>
      </w:r>
      <w:r>
        <w:rPr>
          <w:sz w:val="20"/>
        </w:rPr>
        <w:tab/>
      </w:r>
      <w:r>
        <w:rPr>
          <w:sz w:val="20"/>
          <w:highlight w:val="lightGray"/>
        </w:rPr>
        <w:fldChar w:fldCharType="begin" w:fldLock="1">
          <w:ffData>
            <w:name w:val=""/>
            <w:enabled/>
            <w:calcOnExit w:val="0"/>
            <w:textInput>
              <w:default w:val="............................"/>
            </w:textInput>
          </w:ffData>
        </w:fldChar>
      </w:r>
      <w:r>
        <w:rPr>
          <w:sz w:val="20"/>
          <w:highlight w:val="lightGray"/>
        </w:rPr>
        <w:instrText xml:space="preserve"> FORMTEXT </w:instrText>
      </w:r>
      <w:r>
        <w:rPr>
          <w:sz w:val="20"/>
          <w:highlight w:val="lightGray"/>
        </w:rPr>
      </w:r>
      <w:r>
        <w:rPr>
          <w:sz w:val="20"/>
          <w:highlight w:val="lightGray"/>
        </w:rPr>
        <w:fldChar w:fldCharType="separate"/>
      </w:r>
      <w:r>
        <w:rPr>
          <w:sz w:val="20"/>
          <w:highlight w:val="lightGray"/>
        </w:rPr>
        <w:t>............................</w:t>
      </w:r>
      <w:r>
        <w:rPr>
          <w:sz w:val="20"/>
          <w:highlight w:val="lightGray"/>
        </w:rPr>
        <w:fldChar w:fldCharType="end"/>
      </w:r>
      <w:r>
        <w:rPr>
          <w:sz w:val="20"/>
        </w:rPr>
        <w:tab/>
      </w:r>
      <w:r>
        <w:rPr>
          <w:sz w:val="20"/>
          <w:highlight w:val="lightGray"/>
        </w:rPr>
        <w:fldChar w:fldCharType="begin" w:fldLock="1">
          <w:ffData>
            <w:name w:val=""/>
            <w:enabled/>
            <w:calcOnExit w:val="0"/>
            <w:textInput>
              <w:default w:val="............................"/>
            </w:textInput>
          </w:ffData>
        </w:fldChar>
      </w:r>
      <w:r>
        <w:rPr>
          <w:sz w:val="20"/>
          <w:highlight w:val="lightGray"/>
        </w:rPr>
        <w:instrText xml:space="preserve"> FORMTEXT </w:instrText>
      </w:r>
      <w:r>
        <w:rPr>
          <w:sz w:val="20"/>
          <w:highlight w:val="lightGray"/>
        </w:rPr>
      </w:r>
      <w:r>
        <w:rPr>
          <w:sz w:val="20"/>
          <w:highlight w:val="lightGray"/>
        </w:rPr>
        <w:fldChar w:fldCharType="separate"/>
      </w:r>
      <w:r>
        <w:rPr>
          <w:sz w:val="20"/>
          <w:highlight w:val="lightGray"/>
        </w:rPr>
        <w:t>............................</w:t>
      </w:r>
      <w:r>
        <w:rPr>
          <w:sz w:val="20"/>
          <w:highlight w:val="lightGray"/>
        </w:rPr>
        <w:fldChar w:fldCharType="end"/>
      </w:r>
    </w:p>
    <w:p w14:paraId="0F8C26AB" w14:textId="458E7D44" w:rsidR="000345DC" w:rsidRPr="008237D6" w:rsidRDefault="003D3009" w:rsidP="004062B7">
      <w:pPr>
        <w:tabs>
          <w:tab w:val="left" w:pos="1701"/>
          <w:tab w:val="left" w:pos="5529"/>
        </w:tabs>
      </w:pPr>
      <w:r>
        <w:rPr>
          <w:sz w:val="20"/>
        </w:rPr>
        <w:t>(Lieu)</w:t>
      </w:r>
      <w:r>
        <w:rPr>
          <w:sz w:val="20"/>
        </w:rPr>
        <w:tab/>
        <w:t>(Date)</w:t>
      </w:r>
      <w:r>
        <w:rPr>
          <w:sz w:val="20"/>
        </w:rPr>
        <w:tab/>
        <w:t>(Signature)</w:t>
      </w:r>
    </w:p>
    <w:sectPr w:rsidR="000345DC" w:rsidRPr="008237D6" w:rsidSect="002F5E32">
      <w:headerReference w:type="default" r:id="rId7"/>
      <w:footerReference w:type="default" r:id="rId8"/>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C23D2" w14:textId="77777777" w:rsidR="00047654" w:rsidRDefault="00047654" w:rsidP="00E0714A">
      <w:r>
        <w:separator/>
      </w:r>
    </w:p>
  </w:endnote>
  <w:endnote w:type="continuationSeparator" w:id="0">
    <w:p w14:paraId="7FE7AF74" w14:textId="77777777" w:rsidR="00047654" w:rsidRDefault="00047654"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0514A60C" w14:textId="77777777" w:rsidTr="000D6C89">
      <w:tc>
        <w:tcPr>
          <w:tcW w:w="1329" w:type="pct"/>
        </w:tcPr>
        <w:p w14:paraId="7E91B340" w14:textId="3AAA1D08" w:rsidR="00703906" w:rsidRDefault="00703906" w:rsidP="00703906">
          <w:pPr>
            <w:rPr>
              <w:sz w:val="18"/>
              <w:szCs w:val="18"/>
            </w:rPr>
          </w:pPr>
          <w:r>
            <w:rPr>
              <w:sz w:val="18"/>
            </w:rPr>
            <w:t xml:space="preserve">Version : </w:t>
          </w:r>
          <w:r w:rsidR="001D4456">
            <w:rPr>
              <w:sz w:val="18"/>
            </w:rPr>
            <w:t xml:space="preserve">octobre </w:t>
          </w:r>
          <w:r>
            <w:rPr>
              <w:sz w:val="18"/>
            </w:rPr>
            <w:t>2024</w:t>
          </w:r>
        </w:p>
      </w:tc>
      <w:tc>
        <w:tcPr>
          <w:tcW w:w="2266" w:type="pct"/>
        </w:tcPr>
        <w:p w14:paraId="36969E4E" w14:textId="20814586" w:rsidR="00703906" w:rsidRDefault="00703906" w:rsidP="00703906">
          <w:pPr>
            <w:jc w:val="center"/>
            <w:rPr>
              <w:sz w:val="18"/>
              <w:szCs w:val="18"/>
            </w:rPr>
          </w:pPr>
          <w:r>
            <w:rPr>
              <w:sz w:val="18"/>
            </w:rPr>
            <w:t>Créé par : E210</w:t>
          </w:r>
        </w:p>
      </w:tc>
      <w:tc>
        <w:tcPr>
          <w:tcW w:w="1405" w:type="pct"/>
        </w:tcPr>
        <w:p w14:paraId="4B43DA25" w14:textId="77777777" w:rsidR="00703906" w:rsidRDefault="00703906" w:rsidP="00703906">
          <w:pPr>
            <w:ind w:right="57"/>
            <w:jc w:val="right"/>
            <w:rPr>
              <w:sz w:val="18"/>
              <w:szCs w:val="18"/>
            </w:rPr>
          </w:pPr>
          <w:r>
            <w:rPr>
              <w:sz w:val="18"/>
            </w:rPr>
            <w:t>Page </w:t>
          </w:r>
          <w:r>
            <w:rPr>
              <w:sz w:val="18"/>
            </w:rPr>
            <w:fldChar w:fldCharType="begin"/>
          </w:r>
          <w:r>
            <w:rPr>
              <w:sz w:val="18"/>
            </w:rPr>
            <w:instrText xml:space="preserve"> PAGE  </w:instrText>
          </w:r>
          <w:r>
            <w:rPr>
              <w:sz w:val="18"/>
            </w:rPr>
            <w:fldChar w:fldCharType="separate"/>
          </w:r>
          <w:r w:rsidR="003E5CAF">
            <w:rPr>
              <w:sz w:val="18"/>
            </w:rPr>
            <w:t>1</w:t>
          </w:r>
          <w:r>
            <w:rPr>
              <w:sz w:val="18"/>
            </w:rPr>
            <w:fldChar w:fldCharType="end"/>
          </w:r>
        </w:p>
      </w:tc>
    </w:tr>
  </w:tbl>
  <w:p w14:paraId="0432BD5B"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15B32" w14:textId="77777777" w:rsidR="00047654" w:rsidRDefault="00047654" w:rsidP="00E0714A">
      <w:r>
        <w:separator/>
      </w:r>
    </w:p>
  </w:footnote>
  <w:footnote w:type="continuationSeparator" w:id="0">
    <w:p w14:paraId="592E5069" w14:textId="77777777" w:rsidR="00047654" w:rsidRDefault="00047654"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2A8C7057" w14:textId="77777777" w:rsidTr="000D6C89">
      <w:tc>
        <w:tcPr>
          <w:tcW w:w="3497" w:type="pct"/>
        </w:tcPr>
        <w:p w14:paraId="13F91495" w14:textId="77777777" w:rsidR="00703906" w:rsidRPr="00703906" w:rsidRDefault="00703906" w:rsidP="00703906">
          <w:pPr>
            <w:tabs>
              <w:tab w:val="right" w:pos="9356"/>
            </w:tabs>
            <w:spacing w:before="660"/>
          </w:pPr>
        </w:p>
      </w:tc>
      <w:tc>
        <w:tcPr>
          <w:tcW w:w="1503" w:type="pct"/>
        </w:tcPr>
        <w:p w14:paraId="55975B0A" w14:textId="77777777" w:rsidR="00703906" w:rsidRPr="00703906" w:rsidRDefault="00703906" w:rsidP="00703906">
          <w:pPr>
            <w:tabs>
              <w:tab w:val="right" w:pos="9356"/>
            </w:tabs>
            <w:ind w:right="-227"/>
            <w:jc w:val="right"/>
            <w:rPr>
              <w:sz w:val="20"/>
            </w:rPr>
          </w:pPr>
          <w:r>
            <w:rPr>
              <w:noProof/>
              <w:sz w:val="20"/>
            </w:rPr>
            <w:drawing>
              <wp:inline distT="0" distB="0" distL="0" distR="0" wp14:anchorId="75C7842B" wp14:editId="02265F3C">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68BE8E0C" w14:textId="77777777" w:rsidR="00703906" w:rsidRPr="00703906" w:rsidRDefault="0070390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453CE1"/>
    <w:multiLevelType w:val="hybridMultilevel"/>
    <w:tmpl w:val="79089AC6"/>
    <w:lvl w:ilvl="0" w:tplc="0EA2DF20">
      <w:start w:val="1"/>
      <w:numFmt w:val="decimal"/>
      <w:lvlText w:val="%1."/>
      <w:lvlJc w:val="left"/>
      <w:pPr>
        <w:ind w:left="876" w:hanging="516"/>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200118"/>
    <w:multiLevelType w:val="multilevel"/>
    <w:tmpl w:val="281ADD9E"/>
    <w:lvl w:ilvl="0">
      <w:start w:val="1"/>
      <w:numFmt w:val="decimal"/>
      <w:lvlText w:val="%1"/>
      <w:lvlJc w:val="left"/>
      <w:pPr>
        <w:ind w:left="516" w:hanging="516"/>
      </w:pPr>
      <w:rPr>
        <w:rFonts w:hint="default"/>
        <w:b/>
      </w:rPr>
    </w:lvl>
    <w:lvl w:ilvl="1">
      <w:start w:val="1"/>
      <w:numFmt w:val="decimal"/>
      <w:lvlText w:val="%1.%2"/>
      <w:lvlJc w:val="left"/>
      <w:pPr>
        <w:ind w:left="516" w:hanging="51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CF51888"/>
    <w:multiLevelType w:val="hybridMultilevel"/>
    <w:tmpl w:val="A17CA7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2C60332"/>
    <w:multiLevelType w:val="hybridMultilevel"/>
    <w:tmpl w:val="96F6FE60"/>
    <w:lvl w:ilvl="0" w:tplc="31A61948">
      <w:start w:val="1"/>
      <w:numFmt w:val="bullet"/>
      <w:lvlText w:val=""/>
      <w:lvlJc w:val="left"/>
      <w:pPr>
        <w:ind w:left="1431" w:hanging="360"/>
      </w:pPr>
      <w:rPr>
        <w:rFonts w:ascii="Symbol" w:hAnsi="Symbol" w:hint="default"/>
        <w:color w:val="auto"/>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num w:numId="1" w16cid:durableId="1692485895">
    <w:abstractNumId w:val="9"/>
  </w:num>
  <w:num w:numId="2" w16cid:durableId="1417096329">
    <w:abstractNumId w:val="7"/>
  </w:num>
  <w:num w:numId="3" w16cid:durableId="2104453729">
    <w:abstractNumId w:val="6"/>
  </w:num>
  <w:num w:numId="4" w16cid:durableId="1164707252">
    <w:abstractNumId w:val="5"/>
  </w:num>
  <w:num w:numId="5" w16cid:durableId="1571186379">
    <w:abstractNumId w:val="4"/>
  </w:num>
  <w:num w:numId="6" w16cid:durableId="432677143">
    <w:abstractNumId w:val="8"/>
  </w:num>
  <w:num w:numId="7" w16cid:durableId="1144735852">
    <w:abstractNumId w:val="3"/>
  </w:num>
  <w:num w:numId="8" w16cid:durableId="2013294049">
    <w:abstractNumId w:val="2"/>
  </w:num>
  <w:num w:numId="9" w16cid:durableId="1116101066">
    <w:abstractNumId w:val="1"/>
  </w:num>
  <w:num w:numId="10" w16cid:durableId="254097832">
    <w:abstractNumId w:val="0"/>
  </w:num>
  <w:num w:numId="11" w16cid:durableId="1479884067">
    <w:abstractNumId w:val="11"/>
  </w:num>
  <w:num w:numId="12" w16cid:durableId="410931651">
    <w:abstractNumId w:val="13"/>
  </w:num>
  <w:num w:numId="13" w16cid:durableId="1780442909">
    <w:abstractNumId w:val="10"/>
  </w:num>
  <w:num w:numId="14" w16cid:durableId="4539825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09"/>
    <w:rsid w:val="000345DC"/>
    <w:rsid w:val="00047654"/>
    <w:rsid w:val="00065DCD"/>
    <w:rsid w:val="000A10F4"/>
    <w:rsid w:val="00163B61"/>
    <w:rsid w:val="001D4456"/>
    <w:rsid w:val="002B6F3E"/>
    <w:rsid w:val="002F5E32"/>
    <w:rsid w:val="003349DC"/>
    <w:rsid w:val="003B306D"/>
    <w:rsid w:val="003D3009"/>
    <w:rsid w:val="003E29DA"/>
    <w:rsid w:val="003E5AD6"/>
    <w:rsid w:val="003E5CAF"/>
    <w:rsid w:val="004062B7"/>
    <w:rsid w:val="00466CB0"/>
    <w:rsid w:val="00471650"/>
    <w:rsid w:val="004A204B"/>
    <w:rsid w:val="004E47CB"/>
    <w:rsid w:val="00513FFF"/>
    <w:rsid w:val="005543DC"/>
    <w:rsid w:val="00652FBA"/>
    <w:rsid w:val="00676462"/>
    <w:rsid w:val="00681AE3"/>
    <w:rsid w:val="00682572"/>
    <w:rsid w:val="00686280"/>
    <w:rsid w:val="006E1922"/>
    <w:rsid w:val="006F2F2B"/>
    <w:rsid w:val="00703906"/>
    <w:rsid w:val="007645F8"/>
    <w:rsid w:val="00777255"/>
    <w:rsid w:val="007A6448"/>
    <w:rsid w:val="007D7476"/>
    <w:rsid w:val="0080748B"/>
    <w:rsid w:val="008237D6"/>
    <w:rsid w:val="008353E5"/>
    <w:rsid w:val="008C579F"/>
    <w:rsid w:val="008F77B6"/>
    <w:rsid w:val="009B43A3"/>
    <w:rsid w:val="009F796C"/>
    <w:rsid w:val="00AF66B8"/>
    <w:rsid w:val="00B12471"/>
    <w:rsid w:val="00BB0309"/>
    <w:rsid w:val="00BE7ECE"/>
    <w:rsid w:val="00C20E80"/>
    <w:rsid w:val="00CB282C"/>
    <w:rsid w:val="00CE76D5"/>
    <w:rsid w:val="00D50F56"/>
    <w:rsid w:val="00D91585"/>
    <w:rsid w:val="00DC1A56"/>
    <w:rsid w:val="00E0714A"/>
    <w:rsid w:val="00E31FE2"/>
    <w:rsid w:val="00E45BF2"/>
    <w:rsid w:val="00F30AA3"/>
    <w:rsid w:val="00F4723F"/>
    <w:rsid w:val="00F675AF"/>
    <w:rsid w:val="00FA078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62C00A"/>
  <w15:chartTrackingRefBased/>
  <w15:docId w15:val="{28BF7B27-265C-449A-AE86-86B11873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009"/>
    <w:pPr>
      <w:overflowPunct w:val="0"/>
      <w:autoSpaceDE w:val="0"/>
      <w:autoSpaceDN w:val="0"/>
      <w:adjustRightInd w:val="0"/>
      <w:spacing w:after="0" w:line="240" w:lineRule="auto"/>
      <w:textAlignment w:val="baseline"/>
    </w:pPr>
    <w:rPr>
      <w:rFonts w:ascii="Arial" w:eastAsia="Times New Roman" w:hAnsi="Arial" w:cs="Times New Roman"/>
      <w:szCs w:val="20"/>
      <w:lang w:eastAsia="de-DE"/>
    </w:rPr>
  </w:style>
  <w:style w:type="paragraph" w:styleId="Titre1">
    <w:name w:val="heading 1"/>
    <w:aliases w:val="1. Überschrift"/>
    <w:basedOn w:val="Normal"/>
    <w:next w:val="Normal"/>
    <w:link w:val="Titre1Car"/>
    <w:uiPriority w:val="1"/>
    <w:qFormat/>
    <w:rsid w:val="00676462"/>
    <w:pPr>
      <w:keepNext/>
      <w:keepLines/>
      <w:spacing w:before="480"/>
      <w:outlineLvl w:val="0"/>
    </w:pPr>
    <w:rPr>
      <w:rFonts w:eastAsiaTheme="majorEastAsia" w:cstheme="majorBidi"/>
      <w:b/>
      <w:bCs/>
      <w:sz w:val="28"/>
      <w:szCs w:val="28"/>
    </w:rPr>
  </w:style>
  <w:style w:type="paragraph" w:styleId="Titre2">
    <w:name w:val="heading 2"/>
    <w:aliases w:val="2. Überschrift"/>
    <w:basedOn w:val="Normal"/>
    <w:next w:val="Normal"/>
    <w:link w:val="Titre2Car"/>
    <w:uiPriority w:val="1"/>
    <w:unhideWhenUsed/>
    <w:qFormat/>
    <w:rsid w:val="00676462"/>
    <w:pPr>
      <w:keepNext/>
      <w:keepLines/>
      <w:spacing w:before="240"/>
      <w:outlineLvl w:val="1"/>
    </w:pPr>
    <w:rPr>
      <w:rFonts w:eastAsiaTheme="majorEastAsia" w:cstheme="majorBidi"/>
      <w:b/>
      <w:bCs/>
      <w:sz w:val="24"/>
      <w:szCs w:val="26"/>
    </w:rPr>
  </w:style>
  <w:style w:type="paragraph" w:styleId="Titre3">
    <w:name w:val="heading 3"/>
    <w:aliases w:val="3. Überschrift"/>
    <w:basedOn w:val="Normal"/>
    <w:next w:val="Normal"/>
    <w:link w:val="Titre3Car"/>
    <w:uiPriority w:val="1"/>
    <w:unhideWhenUsed/>
    <w:qFormat/>
    <w:rsid w:val="00676462"/>
    <w:pPr>
      <w:keepNext/>
      <w:keepLines/>
      <w:spacing w:before="240"/>
      <w:outlineLvl w:val="2"/>
    </w:pPr>
    <w:rPr>
      <w:rFonts w:eastAsiaTheme="majorEastAsia" w:cstheme="majorBidi"/>
      <w:b/>
      <w:bCs/>
    </w:rPr>
  </w:style>
  <w:style w:type="paragraph" w:styleId="Titre4">
    <w:name w:val="heading 4"/>
    <w:basedOn w:val="Normal"/>
    <w:next w:val="Normal"/>
    <w:link w:val="Titre4Car"/>
    <w:uiPriority w:val="9"/>
    <w:unhideWhenUsed/>
    <w:rsid w:val="008237D6"/>
    <w:pPr>
      <w:keepNext/>
      <w:keepLines/>
      <w:spacing w:before="240"/>
      <w:outlineLvl w:val="3"/>
    </w:pPr>
    <w:rPr>
      <w:rFonts w:eastAsiaTheme="majorEastAsia" w:cstheme="majorBidi"/>
      <w:bCs/>
      <w:iCs/>
    </w:rPr>
  </w:style>
  <w:style w:type="paragraph" w:styleId="Titre5">
    <w:name w:val="heading 5"/>
    <w:basedOn w:val="Normal"/>
    <w:next w:val="Normal"/>
    <w:link w:val="Titre5C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qFormat/>
    <w:rsid w:val="00676462"/>
    <w:pPr>
      <w:tabs>
        <w:tab w:val="left" w:pos="567"/>
        <w:tab w:val="left" w:pos="1134"/>
        <w:tab w:val="left" w:pos="1701"/>
      </w:tabs>
      <w:ind w:left="1701" w:hanging="567"/>
    </w:pPr>
  </w:style>
  <w:style w:type="paragraph" w:styleId="Pieddepage">
    <w:name w:val="footer"/>
    <w:basedOn w:val="Normal"/>
    <w:link w:val="PieddepageCar"/>
    <w:unhideWhenUsed/>
    <w:rsid w:val="00676462"/>
    <w:pPr>
      <w:tabs>
        <w:tab w:val="center" w:pos="4536"/>
        <w:tab w:val="right" w:pos="9072"/>
      </w:tabs>
    </w:pPr>
  </w:style>
  <w:style w:type="character" w:customStyle="1" w:styleId="PieddepageCar">
    <w:name w:val="Pied de page Car"/>
    <w:basedOn w:val="Policepardfaut"/>
    <w:link w:val="Pieddepage"/>
    <w:rsid w:val="00676462"/>
    <w:rPr>
      <w:rFonts w:ascii="Arial" w:eastAsiaTheme="minorHAnsi" w:hAnsi="Arial"/>
      <w:lang w:eastAsia="en-US"/>
    </w:rPr>
  </w:style>
  <w:style w:type="paragraph" w:styleId="Sansinterligne">
    <w:name w:val="No Spacing"/>
    <w:basedOn w:val="Normal"/>
    <w:uiPriority w:val="4"/>
    <w:unhideWhenUsed/>
    <w:rsid w:val="00676462"/>
  </w:style>
  <w:style w:type="paragraph" w:styleId="En-tte">
    <w:name w:val="header"/>
    <w:basedOn w:val="Normal"/>
    <w:link w:val="En-tteCar"/>
    <w:unhideWhenUsed/>
    <w:rsid w:val="00676462"/>
    <w:pPr>
      <w:tabs>
        <w:tab w:val="center" w:pos="4536"/>
        <w:tab w:val="right" w:pos="9072"/>
      </w:tabs>
    </w:pPr>
  </w:style>
  <w:style w:type="character" w:customStyle="1" w:styleId="En-tteCar">
    <w:name w:val="En-tête Car"/>
    <w:basedOn w:val="Policepardfaut"/>
    <w:link w:val="En-tte"/>
    <w:rsid w:val="00676462"/>
    <w:rPr>
      <w:rFonts w:ascii="Arial" w:eastAsiaTheme="minorHAnsi" w:hAnsi="Arial"/>
      <w:lang w:eastAsia="en-US"/>
    </w:rPr>
  </w:style>
  <w:style w:type="character" w:styleId="Numrodepage">
    <w:name w:val="page number"/>
    <w:basedOn w:val="Policepardfaut"/>
    <w:semiHidden/>
    <w:unhideWhenUsed/>
    <w:rsid w:val="00676462"/>
  </w:style>
  <w:style w:type="paragraph" w:styleId="Textedebulles">
    <w:name w:val="Balloon Text"/>
    <w:basedOn w:val="Normal"/>
    <w:link w:val="TextedebullesCar"/>
    <w:uiPriority w:val="99"/>
    <w:semiHidden/>
    <w:unhideWhenUsed/>
    <w:rsid w:val="00676462"/>
    <w:rPr>
      <w:rFonts w:ascii="Tahoma" w:hAnsi="Tahoma" w:cs="Tahoma"/>
      <w:sz w:val="16"/>
      <w:szCs w:val="16"/>
    </w:rPr>
  </w:style>
  <w:style w:type="character" w:customStyle="1" w:styleId="TextedebullesCar">
    <w:name w:val="Texte de bulles Car"/>
    <w:basedOn w:val="Policepardfaut"/>
    <w:link w:val="Textedebulles"/>
    <w:uiPriority w:val="99"/>
    <w:semiHidden/>
    <w:rsid w:val="00676462"/>
    <w:rPr>
      <w:rFonts w:ascii="Tahoma" w:eastAsiaTheme="minorHAnsi" w:hAnsi="Tahoma" w:cs="Tahoma"/>
      <w:sz w:val="16"/>
      <w:szCs w:val="16"/>
      <w:lang w:eastAsia="en-US"/>
    </w:rPr>
  </w:style>
  <w:style w:type="table" w:styleId="Grilledutableau">
    <w:name w:val="Table Grid"/>
    <w:basedOn w:val="Tableau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Überschrift Car"/>
    <w:basedOn w:val="Policepardfaut"/>
    <w:link w:val="Titre1"/>
    <w:uiPriority w:val="1"/>
    <w:rsid w:val="00676462"/>
    <w:rPr>
      <w:rFonts w:ascii="Arial" w:eastAsiaTheme="majorEastAsia" w:hAnsi="Arial" w:cstheme="majorBidi"/>
      <w:b/>
      <w:bCs/>
      <w:sz w:val="28"/>
      <w:szCs w:val="28"/>
      <w:lang w:eastAsia="en-US"/>
    </w:rPr>
  </w:style>
  <w:style w:type="character" w:customStyle="1" w:styleId="Titre2Car">
    <w:name w:val="Titre 2 Car"/>
    <w:aliases w:val="2. Überschrift Car"/>
    <w:basedOn w:val="Policepardfaut"/>
    <w:link w:val="Titre2"/>
    <w:uiPriority w:val="1"/>
    <w:rsid w:val="00676462"/>
    <w:rPr>
      <w:rFonts w:ascii="Arial" w:eastAsiaTheme="majorEastAsia" w:hAnsi="Arial" w:cstheme="majorBidi"/>
      <w:b/>
      <w:bCs/>
      <w:sz w:val="24"/>
      <w:szCs w:val="26"/>
      <w:lang w:eastAsia="en-US"/>
    </w:rPr>
  </w:style>
  <w:style w:type="character" w:customStyle="1" w:styleId="Titre3Car">
    <w:name w:val="Titre 3 Car"/>
    <w:aliases w:val="3. Überschrift Car"/>
    <w:basedOn w:val="Policepardfaut"/>
    <w:link w:val="Titre3"/>
    <w:uiPriority w:val="1"/>
    <w:rsid w:val="00676462"/>
    <w:rPr>
      <w:rFonts w:ascii="Arial" w:eastAsiaTheme="majorEastAsia" w:hAnsi="Arial" w:cstheme="majorBidi"/>
      <w:b/>
      <w:bCs/>
      <w:lang w:eastAsia="en-US"/>
    </w:rPr>
  </w:style>
  <w:style w:type="character" w:customStyle="1" w:styleId="Titre4Car">
    <w:name w:val="Titre 4 Car"/>
    <w:basedOn w:val="Policepardfaut"/>
    <w:link w:val="Titre4"/>
    <w:uiPriority w:val="9"/>
    <w:rsid w:val="008237D6"/>
    <w:rPr>
      <w:rFonts w:ascii="Arial" w:eastAsiaTheme="majorEastAsia" w:hAnsi="Arial" w:cstheme="majorBidi"/>
      <w:bCs/>
      <w:iCs/>
      <w:lang w:eastAsia="en-US"/>
    </w:rPr>
  </w:style>
  <w:style w:type="paragraph" w:styleId="Titre">
    <w:name w:val="Title"/>
    <w:basedOn w:val="Normal"/>
    <w:next w:val="Normal"/>
    <w:link w:val="TitreCar"/>
    <w:uiPriority w:val="10"/>
    <w:qFormat/>
    <w:rsid w:val="008237D6"/>
    <w:pPr>
      <w:contextualSpacing/>
    </w:pPr>
    <w:rPr>
      <w:rFonts w:ascii="Cambria" w:eastAsiaTheme="majorEastAsia" w:hAnsi="Cambria" w:cstheme="majorBidi"/>
      <w:spacing w:val="-10"/>
      <w:kern w:val="28"/>
      <w:sz w:val="56"/>
      <w:szCs w:val="56"/>
    </w:rPr>
  </w:style>
  <w:style w:type="character" w:customStyle="1" w:styleId="TitreCar">
    <w:name w:val="Titre Car"/>
    <w:basedOn w:val="Policepardfaut"/>
    <w:link w:val="Titre"/>
    <w:uiPriority w:val="10"/>
    <w:rsid w:val="008237D6"/>
    <w:rPr>
      <w:rFonts w:ascii="Cambria" w:eastAsiaTheme="majorEastAsia" w:hAnsi="Cambria" w:cstheme="majorBidi"/>
      <w:spacing w:val="-10"/>
      <w:kern w:val="28"/>
      <w:sz w:val="56"/>
      <w:szCs w:val="56"/>
      <w:lang w:eastAsia="en-US"/>
    </w:rPr>
  </w:style>
  <w:style w:type="character" w:customStyle="1" w:styleId="Titre5Car">
    <w:name w:val="Titre 5 Car"/>
    <w:basedOn w:val="Policepardfaut"/>
    <w:link w:val="Titre5"/>
    <w:uiPriority w:val="9"/>
    <w:semiHidden/>
    <w:rsid w:val="008237D6"/>
    <w:rPr>
      <w:rFonts w:asciiTheme="majorHAnsi" w:eastAsiaTheme="majorEastAsia" w:hAnsiTheme="majorHAnsi" w:cstheme="majorBidi"/>
      <w:color w:val="2F5496" w:themeColor="accent1" w:themeShade="BF"/>
      <w:lang w:eastAsia="en-US"/>
    </w:rPr>
  </w:style>
  <w:style w:type="paragraph" w:styleId="Paragraphedeliste">
    <w:name w:val="List Paragraph"/>
    <w:basedOn w:val="Normal"/>
    <w:uiPriority w:val="34"/>
    <w:qFormat/>
    <w:rsid w:val="003D3009"/>
    <w:pPr>
      <w:ind w:left="720"/>
      <w:contextualSpacing/>
    </w:pPr>
  </w:style>
  <w:style w:type="paragraph" w:styleId="Rvision">
    <w:name w:val="Revision"/>
    <w:hidden/>
    <w:uiPriority w:val="99"/>
    <w:semiHidden/>
    <w:rsid w:val="007A6448"/>
    <w:pPr>
      <w:spacing w:after="0" w:line="240" w:lineRule="auto"/>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1023</Words>
  <Characters>5836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arzneimittel-produkt-vorgaben-de.docx; Stand: 04/2024</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arzneimittel-produkt-vorgaben-fr.docx; Stand: 04/2024</dc:title>
  <dc:subject/>
  <dc:creator>Anne Vergeot</dc:creator>
  <cp:keywords/>
  <dc:description/>
  <cp:lastModifiedBy>Coulibaly, Mamadou GIZ ML</cp:lastModifiedBy>
  <cp:revision>3</cp:revision>
  <dcterms:created xsi:type="dcterms:W3CDTF">2025-04-04T10:57:00Z</dcterms:created>
  <dcterms:modified xsi:type="dcterms:W3CDTF">2025-04-04T11:26:00Z</dcterms:modified>
</cp:coreProperties>
</file>